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  <w:spacing w:before="360" w:after="160" w:line="360" w:lineRule="exact"/>
        <w:jc w:val="left"/>
      </w:pPr>
      <w:bookmarkStart w:id="20" w:name="Xbb7f4876da5d690131fd11eb2d736fe0ba7e4b7"/>
      <w:r>
        <w:rPr>
          <w:rFonts w:ascii="Times New Roman" w:hAnsi="Times New Roman"/>
          <w:b/>
          <w:color w:val="000000"/>
          <w:sz w:val="32"/>
        </w:rPr>
        <w:t xml:space="preserve">Налоговые стимулы для креативных индустрий: предложения CIAQ в контексте Налогового кодекса — 2026</w:t>
      </w:r>
      <w:bookmarkEnd w:id="20"/>
    </w:p>
    <w:p>
      <w:pPr>
        <w:pStyle w:val="Heading2"/>
        <w:spacing w:before="360" w:after="160" w:line="360" w:lineRule="exact"/>
        <w:jc w:val="left"/>
      </w:pPr>
      <w:bookmarkStart w:id="21" w:name="сводное-резюме"/>
      <w:r>
        <w:rPr>
          <w:rFonts w:ascii="Times New Roman" w:hAnsi="Times New Roman"/>
          <w:b/>
          <w:color w:val="000000"/>
          <w:sz w:val="28"/>
        </w:rPr>
        <w:t xml:space="preserve">Сводное резюме</w:t>
      </w:r>
      <w:bookmarkEnd w:id="21"/>
    </w:p>
    <w:p>
      <w:pPr>
        <w:pStyle w:val="FirstParagraph"/>
        <w:spacing w:before="60" w:after="120" w:line="360" w:lineRule="exact"/>
        <w:ind w:firstLine="567"/>
        <w:jc w:val="both"/>
      </w:pPr>
      <w:r>
        <w:rPr>
          <w:rFonts w:ascii="Times New Roman" w:hAnsi="Times New Roman"/>
          <w:color w:val="000000"/>
          <w:sz w:val="24"/>
        </w:rPr>
        <w:t xml:space="preserve">В 2026 году в Казахстане одновременно завершились две реформы, напрямую затрагивающие креативный сектор. Вступил в силу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новый Налоговый кодекс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(Кодекс РК от 18 июля 2025 года № 214-VIII ЗРК, в действии с 1 января 2026 года). Подписан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Закон о поддержке и развитии креативных индустрий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(Закон РК № 266, поправки в законы «О культуре», «О кинематографии», «О государственной молодёжной политике», «О государственном имуществе»; подписан Главой государства 18 февраля 2026 года,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вводится в действие с 20 апреля 2026 года</w:t>
      </w:r>
      <w:r>
        <w:rPr>
          <w:rFonts w:ascii="Times New Roman" w:hAnsi="Times New Roman"/>
          <w:color w:val="000000"/>
          <w:sz w:val="24"/>
        </w:rPr>
        <w:t xml:space="preserve">). Закон формализует понятие субъекта креативной индустрии, создаёт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Единый онлайн-реестр субъектов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и учреждает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Фонд поддержки креативных индустрий</w:t>
      </w:r>
      <w:r>
        <w:rPr>
          <w:rFonts w:ascii="Times New Roman" w:hAnsi="Times New Roman"/>
          <w:color w:val="000000"/>
          <w:sz w:val="24"/>
        </w:rPr>
        <w:t xml:space="preserve">; доступ к мерам господдержки предусмотрен именно через реестр.</w:t>
      </w:r>
    </w:p>
    <w:p>
      <w:pPr>
        <w:pStyle w:val="BodyText"/>
        <w:spacing w:before="60" w:after="120" w:line="360" w:lineRule="exact"/>
        <w:ind w:firstLine="567"/>
        <w:jc w:val="both"/>
      </w:pPr>
      <w:r>
        <w:rPr>
          <w:rFonts w:ascii="Times New Roman" w:hAnsi="Times New Roman"/>
          <w:color w:val="000000"/>
          <w:sz w:val="24"/>
        </w:rPr>
        <w:t xml:space="preserve">Ключевая проблема: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две реформы не состыкованы</w:t>
      </w:r>
      <w:r>
        <w:rPr>
          <w:rFonts w:ascii="Times New Roman" w:hAnsi="Times New Roman"/>
          <w:color w:val="000000"/>
          <w:sz w:val="24"/>
        </w:rPr>
        <w:t xml:space="preserve">. Правовая рамка создана — статус субъекта КИ, реестр, перечень из 43 видов деятельности (приказ Министра культуры и информации РК от 20 октября 2025 года № 572-НҚ). Но Налоговый кодекс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не содержит ни одной нормы, привязанной к этому статусу</w:t>
      </w:r>
      <w:r>
        <w:rPr>
          <w:rFonts w:ascii="Times New Roman" w:hAnsi="Times New Roman"/>
          <w:color w:val="000000"/>
          <w:sz w:val="24"/>
        </w:rPr>
        <w:t xml:space="preserve">. Более того, новый Кодекс ввёл норму (статья 286, пункт 16), которая прямо ухудшила положение креаторов на упрощённом режиме в работе с крупным бизнесом.</w:t>
      </w:r>
    </w:p>
    <w:p>
      <w:pPr>
        <w:pStyle w:val="BodyText"/>
        <w:spacing w:before="60" w:after="120" w:line="360" w:lineRule="exact"/>
        <w:ind w:firstLine="567"/>
        <w:jc w:val="both"/>
      </w:pPr>
      <w:r>
        <w:rPr>
          <w:rFonts w:ascii="Times New Roman" w:hAnsi="Times New Roman"/>
          <w:color w:val="000000"/>
          <w:sz w:val="24"/>
        </w:rPr>
        <w:t xml:space="preserve">Это не абстрактная проблема. Креативные предприниматели — фрилансеры, дизайнеры, художники, разработчики — крайне мобильны. Если режим экономически невыгоден или не учитывает их реальные расходы, бизнес уходит «в тень» либо релоцируется в соседние юрисдикции (Узбекистан, Кыргызстан), уже создавшие специальные налоговые режимы для КИ. CIAQ предлагает закрыть разрыв семью адресными мерами, привязанными к Единому реестру субъектов креативной индустрии. Приоритетные — снятие запрета на вычеты (предложение 1) и привязка преференций к реестру (предложение 2).</w:t>
      </w:r>
    </w:p>
    <w:p>
      <w:pPr>
        <w:pStyle w:val="Heading2"/>
        <w:spacing w:before="360" w:after="160" w:line="360" w:lineRule="exact"/>
        <w:jc w:val="left"/>
      </w:pPr>
      <w:bookmarkStart w:id="22" w:name="X10c729a68d3b9d8274f63e8a69dfc4ea9a9084f"/>
      <w:r>
        <w:rPr>
          <w:rFonts w:ascii="Times New Roman" w:hAnsi="Times New Roman"/>
          <w:b/>
          <w:color w:val="000000"/>
          <w:sz w:val="28"/>
        </w:rPr>
        <w:t xml:space="preserve">1. Актуальная карта налогов — 2026 (отсечение устаревших норм)</w:t>
      </w:r>
      <w:bookmarkEnd w:id="22"/>
    </w:p>
    <w:p>
      <w:pPr>
        <w:pStyle w:val="FirstParagraph"/>
        <w:spacing w:before="60" w:after="120" w:line="360" w:lineRule="exact"/>
        <w:ind w:firstLine="567"/>
        <w:jc w:val="both"/>
      </w:pPr>
      <w:r>
        <w:rPr>
          <w:rFonts w:ascii="Times New Roman" w:hAnsi="Times New Roman"/>
          <w:color w:val="000000"/>
          <w:sz w:val="24"/>
        </w:rPr>
        <w:t xml:space="preserve">Многие публикации и внутренние документы всё ещё ссылаются на нормы Налогового кодекса 2017 года и на 7 специальных налоговых режимов, которых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больше не существует</w:t>
      </w:r>
      <w:r>
        <w:rPr>
          <w:rFonts w:ascii="Times New Roman" w:hAnsi="Times New Roman"/>
          <w:color w:val="000000"/>
          <w:sz w:val="24"/>
        </w:rPr>
        <w:t xml:space="preserve">. Действующие на июнь 2026 года параметры:</w:t>
      </w:r>
    </w:p>
    <w:tbl>
      <w:tblPr>
        <w:tblStyle w:val="Table"/>
        <w:tblW w:type="pct" w:w="5000.0"/>
        <w:tblLook w:firstRow="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Действует с 2026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Что утратило силу</w:t>
            </w:r>
          </w:p>
        </w:tc>
      </w:tr>
      <w:tr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КПН, общая ставка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20 %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</w:tr>
      <w:tr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КПН, дифференциация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банки и игорный бизнес —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25 %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; производители сельхозпродукции —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3 %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; социальная сфера —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5 %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(2026) → 10 % (2027)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единая ставка 20 % для всех</w:t>
            </w:r>
          </w:p>
        </w:tc>
      </w:tr>
      <w:tr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Вычеты по КПН (статья 286, пункт 16)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на товары, работы, услуги у лиц на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упрощёнке вычету НЕ подлежат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(новая норма); расходы по сделкам с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самозанятыми — вычитаются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(при чеке из e-Salyq Business)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прежняя свобода вычета расходов у любых контрагентов</w:t>
            </w:r>
          </w:p>
        </w:tc>
      </w:tr>
      <w:tr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НДС, ставка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16 %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(лекарства, медизделия и медуслуги — 5 % в 2026, 10 % с 2027)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прежняя ставка 12 %</w:t>
            </w:r>
          </w:p>
        </w:tc>
      </w:tr>
      <w:tr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НДС, порог и СНР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порог регистрации снижен до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10 000 МРП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(≈ 43,25 млн тг);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плательщики на СНР (упрощёнка, самозанятые) освобождены от регистрации по НДС независимо от оборота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прежний порог ≈ 20 000 МРП</w:t>
            </w:r>
          </w:p>
        </w:tc>
      </w:tr>
      <w:tr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Спецрежимы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осталось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режима; «упрощёнка» объединена с «розничным налогом»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прежние 7 режимов</w:t>
            </w:r>
          </w:p>
        </w:tc>
      </w:tr>
      <w:tr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Упрощёнка, ставка и порог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4 %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(акиматы ±50 % →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2–6 %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), порог дохода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600 000 МРП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(≈ 2,6 млрд тг), без социального налога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прежние ставки, пороги и ограничения</w:t>
            </w:r>
          </w:p>
        </w:tc>
      </w:tr>
      <w:tr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Упрощёнка, доступ по ОКЭД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из ~1 111 видов 795 запрещены, 318 разрешены;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креативные виды (43 ОКЭД) — в разрешённом списке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прежний более широкий доступ</w:t>
            </w:r>
          </w:p>
        </w:tc>
      </w:tr>
      <w:tr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СНР для самозанятых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ставка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4 %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(ИПН 0 % + соцплатежи), лимит дохода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300 МРП/мес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(≈ 1,3 млн тг), 40 видов деятельности (ПП РК № 994 от 21.11.2025), без наёмных работников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прежний единый совокупный платёж (ЕСП)</w:t>
            </w:r>
          </w:p>
        </w:tc>
      </w:tr>
      <w:tr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Astana Hub (IT)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уменьшение КПН на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100 %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сохранено, но ужесточено: ≥ 90 % дохода от приоритетной IT-деятельности + наличие исключительных прав на ПО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прежние мягкие условия</w:t>
            </w:r>
          </w:p>
        </w:tc>
      </w:tr>
    </w:tbl>
    <w:p>
      <w:pPr>
        <w:pStyle w:val="BlockText"/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t xml:space="preserve">МРП в 2026 году ≈ 4 325 тг (из расчёта порога НДС 10 000 МРП = 43,25 млн тг).</w:t>
      </w:r>
    </w:p>
    <w:p>
      <w:pPr>
        <w:pStyle w:val="Heading2"/>
        <w:spacing w:before="360" w:after="160" w:line="360" w:lineRule="exact"/>
        <w:jc w:val="left"/>
      </w:pPr>
      <w:bookmarkStart w:id="23" w:name="Xed1e286ca2dc155ec62be27baaa2687fa9d3373"/>
      <w:r>
        <w:rPr>
          <w:rFonts w:ascii="Times New Roman" w:hAnsi="Times New Roman"/>
          <w:b/>
          <w:color w:val="000000"/>
          <w:sz w:val="28"/>
        </w:rPr>
        <w:t xml:space="preserve">2. Специфика креативного труда — почему общие правила не работают</w:t>
      </w:r>
      <w:bookmarkEnd w:id="23"/>
    </w:p>
    <w:p>
      <w:pPr>
        <w:pStyle w:val="FirstParagraph"/>
        <w:spacing w:before="60" w:after="120" w:line="360" w:lineRule="exact"/>
        <w:ind w:firstLine="567"/>
        <w:jc w:val="both"/>
      </w:pPr>
      <w:r>
        <w:rPr>
          <w:rFonts w:ascii="Times New Roman" w:hAnsi="Times New Roman"/>
          <w:color w:val="000000"/>
          <w:sz w:val="24"/>
        </w:rPr>
        <w:t xml:space="preserve">В отличие от торговли или производства, где расходы прозрачны (закуп товара, сырья), основные затраты креаторов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нематериальны и специфичны</w:t>
      </w:r>
      <w:r>
        <w:rPr>
          <w:rFonts w:ascii="Times New Roman" w:hAnsi="Times New Roman"/>
          <w:color w:val="000000"/>
          <w:sz w:val="24"/>
        </w:rPr>
        <w:t xml:space="preserve">: интеллектуальная работа, дорогостоящий софт и подписки на международные платформы, оборудование, аренда студий, привлечение узкопрофильных специалистов. Налоговая система, заточенная под материальное производство, эти расходы либо не видит, либо штрафует — через запрет вычетов и отсутствие профильного режима. Именно поэтому единый подход «как для всех» выталкивает креативный бизнес в тень или за рубеж.</w:t>
      </w:r>
    </w:p>
    <w:p>
      <w:pPr>
        <w:pStyle w:val="Heading2"/>
        <w:spacing w:before="360" w:after="160" w:line="360" w:lineRule="exact"/>
        <w:jc w:val="left"/>
      </w:pPr>
      <w:bookmarkStart w:id="24" w:name="четыре-разрыва-для-креативного-сектора"/>
      <w:r>
        <w:rPr>
          <w:rFonts w:ascii="Times New Roman" w:hAnsi="Times New Roman"/>
          <w:b/>
          <w:color w:val="000000"/>
          <w:sz w:val="28"/>
        </w:rPr>
        <w:t xml:space="preserve">3. Четыре разрыва для креативного сектора</w:t>
      </w:r>
      <w:bookmarkEnd w:id="24"/>
    </w:p>
    <w:p>
      <w:pPr>
        <w:pStyle w:val="FirstParagraph"/>
        <w:spacing w:before="60" w:after="120" w:line="360" w:lineRule="exact"/>
        <w:ind w:firstLine="567"/>
        <w:jc w:val="both"/>
      </w:pPr>
      <w:r>
        <w:rPr>
          <w:rFonts w:ascii="Times New Roman" w:hAnsi="Times New Roman"/>
          <w:b/>
          <w:color w:val="000000"/>
          <w:sz w:val="24"/>
        </w:rPr>
        <w:t xml:space="preserve">Разрыв 1. Статус субъекта КИ не даёт налоговых преимуществ.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Единый реестр создан, перечень из 43 ОКЭД утверждён, Фонд поддержки учреждён — но налоговый эффект статуса нулевой. Реестр работает как учётная витрина, а не как механизм поддержки.</w:t>
      </w:r>
    </w:p>
    <w:p>
      <w:pPr>
        <w:pStyle w:val="BodyText"/>
        <w:spacing w:before="60" w:after="120" w:line="360" w:lineRule="exact"/>
        <w:ind w:firstLine="567"/>
        <w:jc w:val="both"/>
      </w:pPr>
      <w:r>
        <w:rPr>
          <w:rFonts w:ascii="Times New Roman" w:hAnsi="Times New Roman"/>
          <w:b/>
          <w:color w:val="000000"/>
          <w:sz w:val="24"/>
        </w:rPr>
        <w:t xml:space="preserve">Разрыв 2. Запрет на вычеты бьёт по B2B-работе креаторов (ключевой).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Статья 286, пункт 16 нового Кодекса запрещает компаниям на общеустановленном режиме относить на вычеты по КПН расходы на услуги контрагентов на упрощёнке. Большинство масштабирующихся креативных студий, продакшенов, дизайн- и IT-бюро работает именно на упрощёнке (порог до 2,6 млрд тг). В результате крупный заказчик — телеканал, IT-холдинг, производственное предприятие — теряет 20 % от суммы договора и начинает избегать отечественных креаторов, предпочитая зарубежных подрядчиков. При этом расходы по сделкам с самозанятыми Кодекс вычитать разрешает — то есть зеркальный, справедливый механизм в системе уже есть, но он не распространён на упрощёнку, где сосредоточен реальный креативный бизнес.</w:t>
      </w:r>
    </w:p>
    <w:p>
      <w:pPr>
        <w:pStyle w:val="BodyText"/>
        <w:spacing w:before="60" w:after="120" w:line="360" w:lineRule="exact"/>
        <w:ind w:firstLine="567"/>
        <w:jc w:val="both"/>
      </w:pPr>
      <w:r>
        <w:rPr>
          <w:rFonts w:ascii="Times New Roman" w:hAnsi="Times New Roman"/>
          <w:b/>
          <w:color w:val="000000"/>
          <w:sz w:val="24"/>
        </w:rPr>
        <w:t xml:space="preserve">Разрыв 3. Налоговый обрыв при выходе из спецрежима.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Пока креатор на СНР, он освобождён от НДС. Но как только бизнес перерастает порог упрощёнки (600 000 МРП) и переходит на общеустановленный режим, он сразу попадает под НДС 16 % и полный КПН — без промежуточного, «креативного» режима. Этот обрыв подавляет рост: компании сознательно дробятся или не масштабируются, чтобы не пересечь порог. Бремя НДС 16 % ложится именно на креаторов на общеустановленном режиме.</w:t>
      </w:r>
    </w:p>
    <w:p>
      <w:pPr>
        <w:pStyle w:val="BodyText"/>
        <w:spacing w:before="60" w:after="120" w:line="360" w:lineRule="exact"/>
        <w:ind w:firstLine="567"/>
        <w:jc w:val="both"/>
      </w:pPr>
      <w:r>
        <w:rPr>
          <w:rFonts w:ascii="Times New Roman" w:hAnsi="Times New Roman"/>
          <w:b/>
          <w:color w:val="000000"/>
          <w:sz w:val="24"/>
        </w:rPr>
        <w:t xml:space="preserve">Разрыв 4. Режим Astana Hub закрыт для большинства креативных индустрий.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Обнуление КПН действует только для IT-деятельности с владением исключительными правами на ПО. Кино, музыка, дизайн, мода, ремёсла, исполнительские искусства, издательское дело — вне периметра. Аналога экстерриториального налогового режима для не-IT креативных отраслей в стране нет.</w:t>
      </w:r>
    </w:p>
    <w:p>
      <w:pPr>
        <w:pStyle w:val="Heading2"/>
        <w:spacing w:before="360" w:after="160" w:line="360" w:lineRule="exact"/>
        <w:jc w:val="left"/>
      </w:pPr>
      <w:bookmarkStart w:id="25" w:name="предложения-ciaq"/>
      <w:r>
        <w:rPr>
          <w:rFonts w:ascii="Times New Roman" w:hAnsi="Times New Roman"/>
          <w:b/>
          <w:color w:val="000000"/>
          <w:sz w:val="28"/>
        </w:rPr>
        <w:t xml:space="preserve">4. Предложения CIAQ</w:t>
      </w:r>
      <w:bookmarkEnd w:id="25"/>
    </w:p>
    <w:p>
      <w:pPr>
        <w:pStyle w:val="FirstParagraph"/>
        <w:spacing w:before="60" w:after="120" w:line="360" w:lineRule="exact"/>
        <w:ind w:firstLine="567"/>
        <w:jc w:val="both"/>
      </w:pPr>
      <w:r>
        <w:rPr>
          <w:rFonts w:ascii="Times New Roman" w:hAnsi="Times New Roman"/>
          <w:color w:val="000000"/>
          <w:sz w:val="24"/>
        </w:rPr>
        <w:t xml:space="preserve">Меры приоритизированы: первые три дают наибольший эффект при минимальных бюджетных потерях.</w:t>
      </w:r>
    </w:p>
    <w:p>
      <w:pPr>
        <w:pStyle w:val="BodyText"/>
        <w:spacing w:before="60" w:after="120" w:line="360" w:lineRule="exact"/>
        <w:ind w:firstLine="567"/>
        <w:jc w:val="both"/>
      </w:pPr>
      <w:r>
        <w:rPr>
          <w:rFonts w:ascii="Times New Roman" w:hAnsi="Times New Roman"/>
          <w:b/>
          <w:color w:val="000000"/>
          <w:sz w:val="24"/>
        </w:rPr>
        <w:t xml:space="preserve">Предложение 1 — снять запрет на вычеты по статье 286, пункт 16 для субъектов Единого реестра КИ (приоритет: высокий).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Разрешить компаниям на общеустановленном режиме полноценно относить на вычеты по КПН расходы на товары, работы и услуги, приобретённые у субъектов креативных индустрий на упрощёнке, — по аналогии с уже действующим правом вычета по сделкам с самозанятыми. Обоснование:</w:t>
      </w:r>
    </w:p>
    <w:p>
      <w:pPr>
        <w:numPr>
          <w:ilvl w:val="0"/>
          <w:numId w:val="1001"/>
        </w:numPr>
        <w:pStyle w:val="Compact"/>
        <w:spacing w:before="60" w:after="120" w:line="360" w:lineRule="exact"/>
      </w:pPr>
      <w:r>
        <w:rPr>
          <w:rFonts w:ascii="Times New Roman" w:hAnsi="Times New Roman"/>
          <w:i/>
          <w:color w:val="000000"/>
          <w:sz w:val="24"/>
        </w:rPr>
        <w:t xml:space="preserve">Принцип налоговой зеркальности.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Государство уже признало вычитаемость расходов по сделкам с самозанятыми. Справедливо распространить тот же подход на субъектов креативных индустрий на упрощёнке — это устраняет искусственную дискриминацию целого режима.</w:t>
      </w:r>
    </w:p>
    <w:p>
      <w:pPr>
        <w:numPr>
          <w:ilvl w:val="0"/>
          <w:numId w:val="1001"/>
        </w:numPr>
        <w:pStyle w:val="Compact"/>
        <w:spacing w:before="60" w:after="120" w:line="360" w:lineRule="exact"/>
      </w:pPr>
      <w:r>
        <w:rPr>
          <w:rFonts w:ascii="Times New Roman" w:hAnsi="Times New Roman"/>
          <w:i/>
          <w:color w:val="000000"/>
          <w:sz w:val="24"/>
        </w:rPr>
        <w:t xml:space="preserve">Экономический стимул для крупного бизнеса.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Когда телеканалы, IT-холдинги и производственные предприятия смогут без налоговых потерь относить на вычеты расходы на услуги отечественных креаторов, они начнут приоритетно нанимать казахстанских авторов, дизайнеров и разработчиков вместо зарубежных подрядчиков. Это обеспечивает внутренний переток капитала и загрузку творческого класса.</w:t>
      </w:r>
    </w:p>
    <w:p>
      <w:pPr>
        <w:numPr>
          <w:ilvl w:val="0"/>
          <w:numId w:val="1001"/>
        </w:numPr>
        <w:pStyle w:val="Compact"/>
        <w:spacing w:before="60" w:after="120" w:line="360" w:lineRule="exact"/>
      </w:pPr>
      <w:r>
        <w:rPr>
          <w:rFonts w:ascii="Times New Roman" w:hAnsi="Times New Roman"/>
          <w:i/>
          <w:color w:val="000000"/>
          <w:sz w:val="24"/>
        </w:rPr>
        <w:t xml:space="preserve">Автоматическое обеление рынка.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Право на вычет превращает самого заказчика в контролёра налоговой дисциплины: крупный контрагент будет требовать от креатора официальный договор и фискальный чек, чтобы подтвердить расход. Серые переводы теряют смысл — рынок обеляется без дополнительного административного давления.</w:t>
      </w:r>
    </w:p>
    <w:p>
      <w:pPr>
        <w:numPr>
          <w:ilvl w:val="0"/>
          <w:numId w:val="1001"/>
        </w:numPr>
        <w:pStyle w:val="Compact"/>
        <w:spacing w:before="60" w:after="120" w:line="360" w:lineRule="exact"/>
      </w:pPr>
      <w:r>
        <w:rPr>
          <w:rFonts w:ascii="Times New Roman" w:hAnsi="Times New Roman"/>
          <w:i/>
          <w:color w:val="000000"/>
          <w:sz w:val="24"/>
        </w:rPr>
        <w:t xml:space="preserve">Устранение барьеров для масштабирования.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Сегодня из-за запрета крупный бизнес неохотно работает с креаторами на спецрежимах, вынуждая их либо открывать сложные ТОО на общеустановленном режиме (к которому микробизнес экономически не готов), либо терять заказы. Вычет снимает этот барьер и открывает малому креативному бизнесу доступ к лидерам рынка.</w:t>
      </w:r>
    </w:p>
    <w:p>
      <w:pPr>
        <w:pStyle w:val="FirstParagraph"/>
        <w:spacing w:before="60" w:after="120" w:line="360" w:lineRule="exact"/>
        <w:ind w:firstLine="567"/>
        <w:jc w:val="both"/>
      </w:pPr>
      <w:r>
        <w:rPr>
          <w:rFonts w:ascii="Times New Roman" w:hAnsi="Times New Roman"/>
          <w:b/>
          <w:color w:val="000000"/>
          <w:sz w:val="24"/>
        </w:rPr>
        <w:t xml:space="preserve">Предложение 2 — привязать налоговый статус к Единому реестру (приоритет: высокий).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Сделать запись в Едином реестре субъектов креативной индустрии юридическим основанием (триггером) для применения налоговых преференций, включая вычет по предложению 1. Реестр и Фонд поддержки КИ уже определены законом как канал господдержки — логично сделать их и каналом налоговых мер. Это закрывает «российский» пробел (там реестр создан, а налоговых стимулов нет) без новой бюрократии.</w:t>
      </w:r>
    </w:p>
    <w:p>
      <w:pPr>
        <w:pStyle w:val="BodyText"/>
        <w:spacing w:before="60" w:after="120" w:line="360" w:lineRule="exact"/>
        <w:ind w:firstLine="567"/>
        <w:jc w:val="both"/>
      </w:pPr>
      <w:r>
        <w:rPr>
          <w:rFonts w:ascii="Times New Roman" w:hAnsi="Times New Roman"/>
          <w:b/>
          <w:color w:val="000000"/>
          <w:sz w:val="24"/>
        </w:rPr>
        <w:t xml:space="preserve">Предложение 3 — расширить перечень ОКЭД для самозанятых креаторов (приоритет: высокий).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Перечень видов деятельности для режима самозанятых (ПП РК № 994 от 21.11.2025, 40 видов) охватывает лишь узкий срез творческих занятий (фотография, перевод, отдельные виды искусства) и не включает большинство креативных профессий — дизайн, музыку, аудиовизуальное производство, геймдев, моду. Расширение этого списка под креативные ОКЭД даст индивидуальным авторам простой и законный режим (4 %, без отчётности), что напрямую обеляет самый массовый, низовой сегмент сектора.</w:t>
      </w:r>
    </w:p>
    <w:p>
      <w:pPr>
        <w:pStyle w:val="BodyText"/>
        <w:spacing w:before="60" w:after="120" w:line="360" w:lineRule="exact"/>
        <w:ind w:firstLine="567"/>
        <w:jc w:val="both"/>
      </w:pPr>
      <w:r>
        <w:rPr>
          <w:rFonts w:ascii="Times New Roman" w:hAnsi="Times New Roman"/>
          <w:b/>
          <w:color w:val="000000"/>
          <w:sz w:val="24"/>
        </w:rPr>
        <w:t xml:space="preserve">Предложение 4 — специальный налоговый режим для креативных индустрий.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 модели Кыргызстана и Узбекистана: пониженная ставка с оборота (ориентир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2–4 %</w:t>
      </w:r>
      <w:r>
        <w:rPr>
          <w:rFonts w:ascii="Times New Roman" w:hAnsi="Times New Roman"/>
          <w:color w:val="000000"/>
          <w:sz w:val="24"/>
        </w:rPr>
        <w:t xml:space="preserve">) для субъектов Единого реестра. Кыргызстан с 2022 года применяет режим Парка креативных индустрий со ставкой порядка 1–2 % с выручки — первый в мире специализированный налоговый режим для КИ. Такой режим также сглаживает «налоговый обрыв» из разрыва 3, давая промежуточную ступень между упрощёнкой и общеустановленным режимом.</w:t>
      </w:r>
    </w:p>
    <w:p>
      <w:pPr>
        <w:pStyle w:val="BodyText"/>
        <w:spacing w:before="60" w:after="120" w:line="360" w:lineRule="exact"/>
        <w:ind w:firstLine="567"/>
        <w:jc w:val="both"/>
      </w:pPr>
      <w:r>
        <w:rPr>
          <w:rFonts w:ascii="Times New Roman" w:hAnsi="Times New Roman"/>
          <w:b/>
          <w:color w:val="000000"/>
          <w:sz w:val="24"/>
        </w:rPr>
        <w:t xml:space="preserve">Предложение 5 — пониженная ставка КПН либо инвестиционный вычет для субъектов КИ.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Распространить на креативный сектор логику социальной сферы (КПН 5 %) либо ввести инвестиционный налоговый вычет на капитальные и специфические вложения — софт, подписки на профессиональные платформы, оборудование, постпродакшен, аренду студий, привлечение узкопрофильных специалистов. Это прямо отвечает на нематериальную природу затрат креаторов (раздел 2).</w:t>
      </w:r>
    </w:p>
    <w:p>
      <w:pPr>
        <w:pStyle w:val="BodyText"/>
        <w:spacing w:before="60" w:after="120" w:line="360" w:lineRule="exact"/>
        <w:ind w:firstLine="567"/>
        <w:jc w:val="both"/>
      </w:pPr>
      <w:r>
        <w:rPr>
          <w:rFonts w:ascii="Times New Roman" w:hAnsi="Times New Roman"/>
          <w:b/>
          <w:color w:val="000000"/>
          <w:sz w:val="24"/>
        </w:rPr>
        <w:t xml:space="preserve">Предложение 6 — освобождение творческих услуг от НДС для креаторов на общеустановленном режиме.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Поскольку плательщики на СНР от НДС и так освобождены, мера адресна тем креаторам, кто уже перешёл на общеустановленный режим: повышенный порог регистрации по НДС для субъектов реестра либо освобождение отдельных творческих услуг — чтобы НДС 16 % не подавлял рост компаний после выхода из спецрежима.</w:t>
      </w:r>
    </w:p>
    <w:p>
      <w:pPr>
        <w:pStyle w:val="BodyText"/>
        <w:spacing w:before="60" w:after="120" w:line="360" w:lineRule="exact"/>
        <w:ind w:firstLine="567"/>
        <w:jc w:val="both"/>
      </w:pPr>
      <w:r>
        <w:rPr>
          <w:rFonts w:ascii="Times New Roman" w:hAnsi="Times New Roman"/>
          <w:b/>
          <w:color w:val="000000"/>
          <w:sz w:val="24"/>
        </w:rPr>
        <w:t xml:space="preserve">Предложение 7 — экстерриториальный «Парк креативных индустрий» и возмещение затрат для кино и анимации.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Создать отдельный налоговый периметр для не-IT креативных отраслей (аналог Astana Hub) и систему возмещения части производственных расходов (cash rebate — частичное возмещение затрат) для кино и анимации. Это поддерживает уже идущую работу с рабочей группой Министерства торговли и интеграции по отраслевому налоговому режиму для киноиндустрии.</w:t>
      </w:r>
    </w:p>
    <w:p>
      <w:pPr>
        <w:pStyle w:val="Heading2"/>
        <w:spacing w:before="360" w:after="160" w:line="360" w:lineRule="exact"/>
        <w:jc w:val="left"/>
      </w:pPr>
      <w:bookmarkStart w:id="26" w:name="международные-ориентиры"/>
      <w:r>
        <w:rPr>
          <w:rFonts w:ascii="Times New Roman" w:hAnsi="Times New Roman"/>
          <w:b/>
          <w:color w:val="000000"/>
          <w:sz w:val="28"/>
        </w:rPr>
        <w:t xml:space="preserve">5. Международные ориентиры</w:t>
      </w:r>
      <w:bookmarkEnd w:id="26"/>
    </w:p>
    <w:tbl>
      <w:tblPr>
        <w:tblStyle w:val="Table"/>
        <w:tblW w:type="pct" w:w="5000.0"/>
        <w:tblLook w:firstRow="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Юрисдикция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Механизм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Суть</w:t>
            </w:r>
          </w:p>
        </w:tc>
      </w:tr>
      <w:tr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Кыргызстан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Парк креативных индустрий (Закон КР № 88 от 08.08.2022 + изменения в НК КР, 2023)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Спецрежим для КИ, ≈ 1–2 % с выручки — первый в мире</w:t>
            </w:r>
          </w:p>
        </w:tc>
      </w:tr>
      <w:tr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Узбекистан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Парк креативных индустрий (Указ УП-61 от 26.03.2025; налоговые льготы — 2026)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Льготный налоговый периметр для резидентов; IT-Park — 0 % до 2040</w:t>
            </w:r>
          </w:p>
        </w:tc>
      </w:tr>
      <w:tr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Россия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ФЗ № 330-ФЗ от 08.08.2024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Единый реестр создан,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налоговых стимулов нет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— слабое место, которое не следует повторять</w:t>
            </w:r>
          </w:p>
        </w:tc>
      </w:tr>
      <w:tr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Бельгия / Германия / Франция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Tax Shelter / DFFF / CNC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Налоговые и возвратные механизмы финансирования кинопроизводства</w:t>
            </w:r>
          </w:p>
        </w:tc>
      </w:tr>
      <w:tr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Корея / Великобритания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KOFIC / BFI</w:t>
            </w:r>
          </w:p>
        </w:tc>
        <w:tc>
          <w:p>
            <w:pPr>
              <w:pStyle w:val="Compact"/>
              <w:spacing w:before="40" w:after="40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Государственные институты с возвратными и стимулирующими схемами для контента</w:t>
            </w:r>
          </w:p>
        </w:tc>
      </w:tr>
    </w:tbl>
    <w:p>
      <w:pPr>
        <w:pStyle w:val="Heading2"/>
        <w:spacing w:before="360" w:after="160" w:line="360" w:lineRule="exact"/>
        <w:jc w:val="left"/>
      </w:pPr>
      <w:bookmarkStart w:id="27" w:name="предлагаемые-следующие-шаги"/>
      <w:r>
        <w:rPr>
          <w:rFonts w:ascii="Times New Roman" w:hAnsi="Times New Roman"/>
          <w:b/>
          <w:color w:val="000000"/>
          <w:sz w:val="28"/>
        </w:rPr>
        <w:t xml:space="preserve">6. Предлагаемые следующие шаги</w:t>
      </w:r>
      <w:bookmarkEnd w:id="27"/>
    </w:p>
    <w:p>
      <w:pPr>
        <w:pStyle w:val="FirstParagraph"/>
        <w:spacing w:before="60" w:after="120" w:line="360" w:lineRule="exact"/>
        <w:ind w:firstLine="567"/>
        <w:jc w:val="both"/>
      </w:pPr>
      <w:r>
        <w:rPr>
          <w:rFonts w:ascii="Times New Roman" w:hAnsi="Times New Roman"/>
          <w:color w:val="000000"/>
          <w:sz w:val="24"/>
        </w:rPr>
        <w:t xml:space="preserve">Внесение поправки в статью 286 (исключение для субъектов Единого реестра КИ) как первоочередная и наименее затратная мера. Подготовка предложения о расширении перечня ОКЭД для самозанятых креаторов (ПП № 994) в адрес МКИ РК и МНЭ РК. Подготовка позиции CIAQ для профильной рабочей группы. Стыковка с уже идущей работой по налоговому режиму для кино (рабочая группа МТИ) и с проектом Правил оказания господдержки КИ. Проработка фискальной оценки предложений 4–6 совместно с Минфином для снятия возражений по выпадающим доходам. Привязка налоговых мер к Фонду поддержки КИ как институциональному оператору.</w:t>
      </w:r>
    </w:p>
    <w:p>
      <w:pPr>
        <w:pStyle w:val="Heading2"/>
        <w:spacing w:before="360" w:after="160" w:line="360" w:lineRule="exact"/>
        <w:jc w:val="left"/>
      </w:pPr>
      <w:bookmarkStart w:id="28" w:name="резюме-для-рабочей-группы"/>
      <w:r>
        <w:rPr>
          <w:rFonts w:ascii="Times New Roman" w:hAnsi="Times New Roman"/>
          <w:b/>
          <w:color w:val="000000"/>
          <w:sz w:val="28"/>
        </w:rPr>
        <w:t xml:space="preserve">7. Резюме для рабочей группы</w:t>
      </w:r>
      <w:bookmarkEnd w:id="28"/>
    </w:p>
    <w:p>
      <w:pPr>
        <w:pStyle w:val="FirstParagraph"/>
        <w:spacing w:before="60" w:after="120" w:line="360" w:lineRule="exact"/>
        <w:ind w:firstLine="567"/>
        <w:jc w:val="both"/>
      </w:pPr>
      <w:r>
        <w:rPr>
          <w:rFonts w:ascii="Times New Roman" w:hAnsi="Times New Roman"/>
          <w:color w:val="000000"/>
          <w:sz w:val="24"/>
        </w:rPr>
        <w:t xml:space="preserve">Государству предлагается изменить налоговые подходы к креативному сектору не ради преференций отдельной группе, а ради создания новой высокотехнологичной и гибкой отрасли экономики. Институциональная и налоговая поддержка — включая работу Фонда поддержки креативных индустрий — закрепит за Казахстаном статус главного креативного хаба Центральной Азии, привлечёт частных инвесторов и нарастит экспортный потенциал креативных продуктов.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Налоговые уступки сегодня — это кратный рост легальных рабочих мест, экспорта и налоговых поступлений уже завтра.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p>
      <w:pPr>
        <w:pStyle w:val="FirstParagraph"/>
        <w:spacing w:before="60" w:after="120" w:line="360" w:lineRule="exact"/>
        <w:ind w:firstLine="567"/>
        <w:jc w:val="both"/>
      </w:pPr>
      <w:r>
        <w:rPr>
          <w:rFonts w:ascii="Times New Roman" w:hAnsi="Times New Roman"/>
          <w:i/>
          <w:color w:val="000000"/>
          <w:sz w:val="24"/>
        </w:rPr>
        <w:t xml:space="preserve">Подготовлено Альянсом креативных индустрий Казахстана (CIAQ): 30 членов, 9 комитетов, 29 индустрий в 6 кластерах. Контакт: info@ciaq.kz.</w:t>
      </w:r>
    </w:p>
    <w:sectPr>
      <w:pgMar w:top="1134" w:bottom="1134" w:left="1701" w:right="85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25" w:hanging="215"/>
      </w:pPr>
    </w:lvl>
    <w:lvl w:ilvl="1">
      <w:numFmt w:val="bullet"/>
      <w:lvlText w:val=" "/>
      <w:lvlJc w:val="left"/>
      <w:pPr>
        <w:tabs>
          <w:tab w:val="num" w:pos="720"/>
        </w:tabs>
        <w:ind w:left="850" w:hanging="215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25" w:hanging="215"/>
      </w:pPr>
    </w:lvl>
    <w:lvl w:ilvl="1">
      <w:numFmt w:val="bullet"/>
      <w:lvlText w:val="–"/>
      <w:lvlJc w:val="left"/>
      <w:pPr>
        <w:tabs>
          <w:tab w:val="num" w:pos="720"/>
        </w:tabs>
        <w:ind w:left="850" w:hanging="215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2026-06-03T06:31:28Z</dcterms:created>
  <dcterms:modified xsi:type="dcterms:W3CDTF">2026-06-03T06:31:28Z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