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402"/>
        <w:gridCol w:w="6633"/>
      </w:tblGrid>
      <w:tr>
        <w:tc>
          <w:tcPr>
            <w:tcW w:type="dxa" w:w="3402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3403758" cy="57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iaq-logo-colo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758" cy="57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33"/>
            <w:vAlign w:val="center"/>
            <w:tcMar>
              <w:top w:w="0" w:type="dxa"/>
              <w:left w:w="170" w:type="dxa"/>
              <w:bottom w:w="0" w:type="dxa"/>
              <w:right w:w="0" w:type="dxa"/>
            </w:tcMar>
          </w:tcPr>
          <w:p>
            <w:pPr>
              <w:spacing w:before="0" w:after="0" w:line="220" w:lineRule="exact"/>
              <w:jc w:val="right"/>
            </w:pPr>
            <w:r>
              <w:rPr>
                <w:rFonts w:ascii="Arial Black" w:hAnsi="Arial Black"/>
                <w:b/>
                <w:color w:val="2D2560"/>
                <w:sz w:val="16"/>
              </w:rPr>
              <w:t>АЛЬЯНС КРЕАТИВНЫХ ИНДУСТРИЙ КАЗАХСТАНА</w:t>
            </w:r>
          </w:p>
          <w:p>
            <w:pPr>
              <w:spacing w:before="40" w:after="0" w:line="200" w:lineRule="exact"/>
              <w:jc w:val="right"/>
            </w:pPr>
            <w:r>
              <w:rPr>
                <w:rFonts w:ascii="Arial Black" w:hAnsi="Arial Black"/>
                <w:color w:val="8A8A9A"/>
                <w:sz w:val="14"/>
              </w:rPr>
              <w:t>CIAQ.KZ</w:t>
            </w:r>
            <w:r>
              <w:rPr>
                <w:rFonts w:ascii="Arial" w:hAnsi="Arial"/>
                <w:color w:val="8A8A9A"/>
                <w:sz w:val="14"/>
              </w:rPr>
              <w:t xml:space="preserve">   ·   </w:t>
            </w:r>
            <w:r>
              <w:rPr>
                <w:rFonts w:ascii="Arial Black" w:hAnsi="Arial Black"/>
                <w:color w:val="8A8A9A"/>
                <w:sz w:val="14"/>
              </w:rPr>
              <w:t>INFO@CIAQ.KZ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035"/>
      </w:tblGrid>
      <w:tr>
        <w:tc>
          <w:tcPr>
            <w:tcW w:type="dxa" w:w="10036"/>
            <w:shd w:val="clear" w:color="auto" w:fill="2D2560"/>
            <w:tcMar>
              <w:top w:w="28" w:type="dxa"/>
              <w:left w:w="0" w:type="dxa"/>
              <w:bottom w:w="28" w:type="dxa"/>
              <w:right w:w="0" w:type="dxa"/>
            </w:tcMar>
          </w:tcPr>
          <w:p>
            <w:pPr>
              <w:spacing w:before="0" w:after="0" w:line="40" w:lineRule="exact"/>
            </w:pPr>
            <w:r>
              <w:rPr>
                <w:sz w:val="2"/>
              </w:rPr>
              <w:t xml:space="preserve"> </w:t>
            </w:r>
          </w:p>
        </w:tc>
      </w:tr>
    </w:tbl>
    <w:p>
      <w:pPr>
        <w:spacing w:before="160" w:after="160" w:line="220" w:lineRule="exact"/>
      </w:pPr>
      <w:r>
        <w:rPr>
          <w:rFonts w:ascii="Arial Black" w:hAnsi="Arial Black"/>
          <w:b/>
          <w:color w:val="E05A20"/>
          <w:sz w:val="16"/>
        </w:rPr>
        <w:t>СПРАВКА</w:t>
      </w:r>
      <w:r>
        <w:rPr>
          <w:rFonts w:ascii="Arial" w:hAnsi="Arial"/>
          <w:color w:val="8A8A9A"/>
          <w:sz w:val="16"/>
        </w:rPr>
        <w:t xml:space="preserve">   ·   </w:t>
      </w:r>
      <w:r>
        <w:rPr>
          <w:rFonts w:ascii="Arial Black" w:hAnsi="Arial Black"/>
          <w:color w:val="4A4A5A"/>
          <w:sz w:val="16"/>
        </w:rPr>
        <w:t>14 МАЯ 2026 ГОДА</w:t>
      </w:r>
      <w:r>
        <w:rPr>
          <w:rFonts w:ascii="Arial" w:hAnsi="Arial"/>
          <w:color w:val="8A8A9A"/>
          <w:sz w:val="16"/>
        </w:rPr>
        <w:t xml:space="preserve">   ·   </w:t>
      </w:r>
      <w:r>
        <w:rPr>
          <w:rFonts w:ascii="Arial Black" w:hAnsi="Arial Black"/>
          <w:color w:val="4A4A5A"/>
          <w:sz w:val="16"/>
        </w:rPr>
        <w:t>БЕНЧМАРК CIAQ № 001</w:t>
      </w:r>
    </w:p>
    <w:p>
      <w:pPr>
        <w:spacing w:before="0" w:after="80" w:line="360" w:lineRule="exact"/>
      </w:pPr>
      <w:r>
        <w:rPr>
          <w:rFonts w:ascii="Arial Black" w:hAnsi="Arial Black"/>
          <w:b/>
          <w:color w:val="2D2560"/>
          <w:sz w:val="28"/>
        </w:rPr>
        <w:t>Программа «Одно село — один продукт»</w:t>
      </w:r>
    </w:p>
    <w:p>
      <w:pPr>
        <w:spacing w:before="0" w:after="240" w:line="260" w:lineRule="exact"/>
      </w:pPr>
      <w:r>
        <w:rPr>
          <w:rFonts w:ascii="Arial" w:hAnsi="Arial"/>
          <w:i/>
          <w:color w:val="4A4A5A"/>
          <w:sz w:val="22"/>
        </w:rPr>
        <w:t>ОСОП / OVOP в Кыргызской Республике при поддержке JICA, 2006–2028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035"/>
      </w:tblGrid>
      <w:tr>
        <w:tc>
          <w:tcPr>
            <w:tcW w:type="dxa" w:w="10036"/>
            <w:shd w:val="clear" w:color="auto" w:fill="F0ECE6"/>
            <w:tcBorders>
              <w:top w:val="nil"/>
              <w:left w:val="single" w:sz="24" w:space="0" w:color="2D2560"/>
              <w:bottom w:val="nil"/>
              <w:right w:val="nil"/>
            </w:tcBorders>
            <w:tcMar>
              <w:top w:w="141" w:type="dxa"/>
              <w:left w:w="226" w:type="dxa"/>
              <w:bottom w:w="141" w:type="dxa"/>
              <w:right w:w="170" w:type="dxa"/>
            </w:tcMar>
          </w:tcPr>
          <w:p>
            <w:pPr>
              <w:spacing w:before="0" w:after="80" w:line="220" w:lineRule="exact"/>
            </w:pPr>
            <w:r>
              <w:rPr>
                <w:rFonts w:ascii="Arial Black" w:hAnsi="Arial Black"/>
                <w:b/>
                <w:color w:val="2D2560"/>
                <w:sz w:val="16"/>
              </w:rPr>
              <w:t>КРАТКОЕ СОДЕРЖАНИЕ</w:t>
            </w:r>
          </w:p>
          <w:p>
            <w:pPr>
              <w:spacing w:before="0" w:after="0" w:line="240" w:lineRule="exact"/>
            </w:pPr>
            <w:r>
              <w:rPr>
                <w:rFonts w:ascii="Arial" w:hAnsi="Arial"/>
                <w:color w:val="1A1A2E"/>
                <w:sz w:val="20"/>
              </w:rPr>
              <w:t>OVOP/ОСОП в Кыргызстане — крупнейший в Центральной Азии институционализированный проект развития сельских креативно-ремесленных индустрий, реализуемый JICA с 2006 года. За 19 лет программа выросла из пилота в Иссык-Кульской области (42 группы, 480 участников в 2010 г.) в национальный экономический проект Кыргызстана с охватом 6 из 7 областей, 300+ общин, 3 000+ производителей (≈90% женщины) и 2 000+ продуктов под брендом «Issyk-Kul Brand». Формальный статус национального проекта присвоен Указом Президента № 139 от 3 марта 2023 года. С января 2024 года действует JICA Phase 4 (440 млн JPY на 2024–2028) с распространением модели на Казахстан и Таджикистан.</w:t>
            </w:r>
          </w:p>
        </w:tc>
      </w:tr>
    </w:tbl>
    <w:p/>
    <w:p>
      <w:pPr>
        <w:spacing w:before="40" w:after="80" w:line="240" w:lineRule="exact"/>
      </w:pPr>
      <w:r>
        <w:rPr>
          <w:rFonts w:ascii="Arial Black" w:hAnsi="Arial Black"/>
          <w:b/>
          <w:color w:val="2D2560"/>
          <w:sz w:val="18"/>
        </w:rPr>
        <w:t>ОСНОВНЫЕ ПАРАМЕТРЫ ПРОГРАММЫ</w:t>
      </w:r>
    </w:p>
    <w:p>
      <w:pPr>
        <w:spacing w:before="0" w:after="80" w:line="250" w:lineRule="exact"/>
      </w:pPr>
      <w:r>
        <w:rPr>
          <w:rFonts w:ascii="Arial" w:hAnsi="Arial"/>
          <w:b/>
          <w:color w:val="2D2560"/>
          <w:sz w:val="20"/>
        </w:rPr>
        <w:t xml:space="preserve">История и хронология. </w:t>
      </w:r>
      <w:r>
        <w:rPr>
          <w:rFonts w:ascii="Arial" w:hAnsi="Arial"/>
          <w:color w:val="1A1A2E"/>
          <w:sz w:val="20"/>
        </w:rPr>
        <w:t>Модель разработана в 1979 г. в Оите (Япония) губернатором Морихико Хирамацу, адаптирована JICA для развивающихся стран. Этапы внедрения в КР: мастерплан в Иссык-Куле (2006), формальный старт J-CEP (2007), приход Акихиса Харагути как Chief Advisor (2009), активная фаза с MUJI и учреждением «OVOP+1 PU» под руководством Наргизы Эркинбаевой (2010–2011), Phase 2 в Иссык-Куле (2012 – янв. 2017), Phase 3 — распространение на регионы (янв. 2017 – 2022), Указ Президента № 139 о национальном статусе (3 марта 2023), JICA Phase 4 — региональный проект для ЦА (янв. 2024 – 2028).</w:t>
      </w:r>
    </w:p>
    <w:p>
      <w:pPr>
        <w:spacing w:before="0" w:after="80" w:line="250" w:lineRule="exact"/>
      </w:pPr>
      <w:r>
        <w:rPr>
          <w:rFonts w:ascii="Arial" w:hAnsi="Arial"/>
          <w:b/>
          <w:color w:val="2D2560"/>
          <w:sz w:val="20"/>
        </w:rPr>
        <w:t xml:space="preserve">Институциональная структура. </w:t>
      </w:r>
      <w:r>
        <w:rPr>
          <w:rFonts w:ascii="Arial" w:hAnsi="Arial"/>
          <w:color w:val="1A1A2E"/>
          <w:sz w:val="20"/>
        </w:rPr>
        <w:t>Треугольник управления: JICA Kyrgyz Republic Office (методология, экспертиза, бюджет) + Министерство экономики и торговли КР (государственный мандат, сертификация) + Общественное объединение «OVOP+1 PU» (операционный центр в Караколе, владелец товарного знака «Issyk-Kul Brand»). В каждой из 6 областей — собственный Бренд-комитет; продукция сертифицируется по 4 критериям: качество и безопасность, локальное происхождение сырья, экологичность, уникальность дизайна.</w:t>
      </w:r>
    </w:p>
    <w:p>
      <w:pPr>
        <w:spacing w:before="80" w:after="60" w:line="240" w:lineRule="exact"/>
      </w:pPr>
      <w:r>
        <w:rPr>
          <w:rFonts w:ascii="Arial" w:hAnsi="Arial"/>
          <w:b/>
          <w:color w:val="2D2560"/>
          <w:sz w:val="20"/>
        </w:rPr>
        <w:t>Бюджетные источники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02"/>
        <w:gridCol w:w="2665"/>
        <w:gridCol w:w="2268"/>
      </w:tblGrid>
      <w:tr>
        <w:tc>
          <w:tcPr>
            <w:tcW w:type="dxa" w:w="3345"/>
            <w:shd w:val="clear" w:color="auto" w:fill="2D2560"/>
            <w:tcMar>
              <w:top w:w="45" w:type="dxa"/>
              <w:left w:w="85" w:type="dxa"/>
              <w:bottom w:w="45" w:type="dxa"/>
              <w:right w:w="85" w:type="dxa"/>
            </w:tcMar>
          </w:tcPr>
          <w:p>
            <w:pPr>
              <w:spacing w:before="0" w:after="0" w:line="220" w:lineRule="exact"/>
            </w:pPr>
            <w:r>
              <w:rPr>
                <w:rFonts w:ascii="Arial Black" w:hAnsi="Arial Black"/>
                <w:b/>
                <w:color w:val="FFFFFF"/>
                <w:sz w:val="16"/>
              </w:rPr>
              <w:t>ИСТОЧНИК</w:t>
            </w:r>
          </w:p>
        </w:tc>
        <w:tc>
          <w:tcPr>
            <w:tcW w:type="dxa" w:w="3345"/>
            <w:shd w:val="clear" w:color="auto" w:fill="2D2560"/>
            <w:tcMar>
              <w:top w:w="45" w:type="dxa"/>
              <w:left w:w="85" w:type="dxa"/>
              <w:bottom w:w="45" w:type="dxa"/>
              <w:right w:w="85" w:type="dxa"/>
            </w:tcMar>
          </w:tcPr>
          <w:p>
            <w:pPr>
              <w:spacing w:before="0" w:after="0" w:line="220" w:lineRule="exact"/>
            </w:pPr>
            <w:r>
              <w:rPr>
                <w:rFonts w:ascii="Arial Black" w:hAnsi="Arial Black"/>
                <w:b/>
                <w:color w:val="FFFFFF"/>
                <w:sz w:val="16"/>
              </w:rPr>
              <w:t>СУММА</w:t>
            </w:r>
          </w:p>
        </w:tc>
        <w:tc>
          <w:tcPr>
            <w:tcW w:type="dxa" w:w="3345"/>
            <w:shd w:val="clear" w:color="auto" w:fill="2D2560"/>
            <w:tcMar>
              <w:top w:w="45" w:type="dxa"/>
              <w:left w:w="85" w:type="dxa"/>
              <w:bottom w:w="45" w:type="dxa"/>
              <w:right w:w="85" w:type="dxa"/>
            </w:tcMar>
          </w:tcPr>
          <w:p>
            <w:pPr>
              <w:spacing w:before="0" w:after="0" w:line="220" w:lineRule="exact"/>
            </w:pPr>
            <w:r>
              <w:rPr>
                <w:rFonts w:ascii="Arial Black" w:hAnsi="Arial Black"/>
                <w:b/>
                <w:color w:val="FFFFFF"/>
                <w:sz w:val="16"/>
              </w:rPr>
              <w:t>ПЕРИОД</w:t>
            </w:r>
          </w:p>
        </w:tc>
      </w:tr>
      <w:tr>
        <w:tc>
          <w:tcPr>
            <w:tcW w:type="dxa" w:w="3345"/>
            <w:shd w:val="clear" w:color="auto" w:fill="F0ECE6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Гос. бюджет КР (Пост. Кабмина № 123)</w:t>
            </w:r>
          </w:p>
        </w:tc>
        <w:tc>
          <w:tcPr>
            <w:tcW w:type="dxa" w:w="3345"/>
            <w:shd w:val="clear" w:color="auto" w:fill="F0ECE6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1 млрд KGS (~$11,8 млн)</w:t>
            </w:r>
          </w:p>
        </w:tc>
        <w:tc>
          <w:tcPr>
            <w:tcW w:type="dxa" w:w="3345"/>
            <w:shd w:val="clear" w:color="auto" w:fill="F0ECE6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2023–2025</w:t>
            </w:r>
          </w:p>
        </w:tc>
      </w:tr>
      <w:tr>
        <w:tc>
          <w:tcPr>
            <w:tcW w:type="dxa" w:w="3345"/>
            <w:shd w:val="clear" w:color="auto" w:fill="FFFFFF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JICA Phase 4 — региональный ЦА</w:t>
            </w:r>
          </w:p>
        </w:tc>
        <w:tc>
          <w:tcPr>
            <w:tcW w:type="dxa" w:w="3345"/>
            <w:shd w:val="clear" w:color="auto" w:fill="FFFFFF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440 млн JPY (~$2,79 млн)</w:t>
            </w:r>
          </w:p>
        </w:tc>
        <w:tc>
          <w:tcPr>
            <w:tcW w:type="dxa" w:w="3345"/>
            <w:shd w:val="clear" w:color="auto" w:fill="FFFFFF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2024–2028</w:t>
            </w:r>
          </w:p>
        </w:tc>
      </w:tr>
      <w:tr>
        <w:tc>
          <w:tcPr>
            <w:tcW w:type="dxa" w:w="3345"/>
            <w:shd w:val="clear" w:color="auto" w:fill="F0ECE6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RESILAND CA+ (Всемирный банк → МЧС КР)</w:t>
            </w:r>
          </w:p>
        </w:tc>
        <w:tc>
          <w:tcPr>
            <w:tcW w:type="dxa" w:w="3345"/>
            <w:shd w:val="clear" w:color="auto" w:fill="F0ECE6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$52 млн</w:t>
            </w:r>
          </w:p>
        </w:tc>
        <w:tc>
          <w:tcPr>
            <w:tcW w:type="dxa" w:w="3345"/>
            <w:shd w:val="clear" w:color="auto" w:fill="F0ECE6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2024–2029</w:t>
            </w:r>
          </w:p>
        </w:tc>
      </w:tr>
      <w:tr>
        <w:tc>
          <w:tcPr>
            <w:tcW w:type="dxa" w:w="3345"/>
            <w:shd w:val="clear" w:color="auto" w:fill="FFFFFF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Cumulative ODA JICA в КР (контекст)</w:t>
            </w:r>
          </w:p>
        </w:tc>
        <w:tc>
          <w:tcPr>
            <w:tcW w:type="dxa" w:w="3345"/>
            <w:shd w:val="clear" w:color="auto" w:fill="FFFFFF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~88 млрд JPY (~$624 млн)</w:t>
            </w:r>
          </w:p>
        </w:tc>
        <w:tc>
          <w:tcPr>
            <w:tcW w:type="dxa" w:w="3345"/>
            <w:shd w:val="clear" w:color="auto" w:fill="FFFFFF"/>
            <w:tcMar>
              <w:top w:w="34" w:type="dxa"/>
              <w:left w:w="85" w:type="dxa"/>
              <w:bottom w:w="34" w:type="dxa"/>
              <w:right w:w="85" w:type="dxa"/>
            </w:tcMar>
          </w:tcPr>
          <w:p>
            <w:pPr>
              <w:spacing w:before="0" w:after="0" w:line="210" w:lineRule="exact"/>
            </w:pPr>
            <w:r>
              <w:rPr>
                <w:rFonts w:ascii="Arial" w:hAnsi="Arial"/>
                <w:color w:val="1A1A2E"/>
                <w:sz w:val="18"/>
              </w:rPr>
              <w:t>с 1993</w:t>
            </w:r>
          </w:p>
        </w:tc>
      </w:tr>
    </w:tbl>
    <w:p/>
    <w:p>
      <w:pPr>
        <w:spacing w:before="40" w:after="80" w:line="240" w:lineRule="exact"/>
      </w:pPr>
      <w:r>
        <w:rPr>
          <w:rFonts w:ascii="Arial Black" w:hAnsi="Arial Black"/>
          <w:b/>
          <w:color w:val="E05A20"/>
          <w:sz w:val="18"/>
        </w:rPr>
        <w:t>ЭФФЕКТЫ ПРОГРАММЫ</w:t>
      </w:r>
    </w:p>
    <w:p>
      <w:pPr>
        <w:spacing w:before="40" w:after="60" w:line="250" w:lineRule="exact"/>
      </w:pPr>
      <w:r>
        <w:rPr>
          <w:rFonts w:ascii="Arial" w:hAnsi="Arial"/>
          <w:b/>
          <w:color w:val="2D2560"/>
          <w:sz w:val="20"/>
        </w:rPr>
        <w:t xml:space="preserve">Экономические. </w:t>
      </w:r>
      <w:r>
        <w:rPr>
          <w:rFonts w:ascii="Arial" w:hAnsi="Arial"/>
          <w:color w:val="1A1A2E"/>
          <w:sz w:val="20"/>
        </w:rPr>
        <w:t>Сеть выросла в 6 раз: 480 (2010) → 3 000+ (2025) производителей, 300+ общин, 2 000+ уникальных продуктов. Средний доход участницы 10 000–18 000 KGS/мес (~$115–210) — сопоставимо со среднереспубликанским уровнем. Продажи 2024 г. — 63 млн KGS (МЧС КР); экспорт 2023 г. — $2,5 млн (Минэкономики КР). Подтверждённые экспортные позиции: войлок 23 798 шт. и мёд 679 кг (2018 г.); рынки — Япония, США, Франция, Норвегия, Россия, Китай, Индия, Израиль, Вьетнам.</w:t>
      </w:r>
    </w:p>
    <w:p>
      <w:pPr>
        <w:spacing w:before="40" w:after="60" w:line="250" w:lineRule="exact"/>
      </w:pPr>
      <w:r>
        <w:rPr>
          <w:rFonts w:ascii="Arial" w:hAnsi="Arial"/>
          <w:b/>
          <w:color w:val="2D2560"/>
          <w:sz w:val="20"/>
        </w:rPr>
        <w:t xml:space="preserve">Социальные. </w:t>
      </w:r>
      <w:r>
        <w:rPr>
          <w:rFonts w:ascii="Arial" w:hAnsi="Arial"/>
          <w:color w:val="1A1A2E"/>
          <w:sz w:val="20"/>
        </w:rPr>
        <w:t>≈90% производителей — женщины (один из крупнейших инструментов женской экономической эмансипации в ЦА, соответствует ЦУР 5 и 8). Программа замещает трудовую миграцию занятостью в сёлах. Партнёрство с Kumtor Gold Company (с 2013): 6 производственных площадок, охват 800 человек из 20 деревень и 78 джамаатов; по данным компании — создано 500+ рабочих мест в Нарынской области и снижена трудовая миграция на ≈20%. Академические исследования (Murayama &amp; Son, Palgrave Macmillan, 2016) фиксируют рост самоуважения и качества жизни у сельских женщин в долине Суусамыр.</w:t>
      </w:r>
    </w:p>
    <w:p>
      <w:pPr>
        <w:spacing w:before="40" w:after="60" w:line="250" w:lineRule="exact"/>
      </w:pPr>
      <w:r>
        <w:rPr>
          <w:rFonts w:ascii="Arial" w:hAnsi="Arial"/>
          <w:b/>
          <w:color w:val="2D2560"/>
          <w:sz w:val="20"/>
        </w:rPr>
        <w:t xml:space="preserve">Институциональные. </w:t>
      </w:r>
      <w:r>
        <w:rPr>
          <w:rFonts w:ascii="Arial" w:hAnsi="Arial"/>
          <w:color w:val="1A1A2E"/>
          <w:sz w:val="20"/>
        </w:rPr>
        <w:t>Программа прошла полный цикл институционализации: от донорского пилота (2007) до национального проекта КР (Указ Президента, 2023). Создан устойчивый институциональный наследник — «OVOP+1 PU» (учр. 2011, за 12 лет до выхода JICA), обеспечивающий преемственность. Сформирована вертикаль сертификации: товарный знак «Issyk-Kul Brand» с EAC-сертификатом + региональные Бренд-комитеты + 4 чётких критерия отбора. Развита сбытовая инфраструктура: 40+ розничных точек, фирменные магазины в Караколе и Бишкеке, точки на АЗС «Газпром нефть Азия».</w:t>
      </w:r>
    </w:p>
    <w:p>
      <w:pPr>
        <w:spacing w:before="40" w:after="60" w:line="250" w:lineRule="exact"/>
      </w:pPr>
      <w:r>
        <w:rPr>
          <w:rFonts w:ascii="Arial" w:hAnsi="Arial"/>
          <w:b/>
          <w:color w:val="2D2560"/>
          <w:sz w:val="20"/>
        </w:rPr>
        <w:t xml:space="preserve">Коммерческие — MUJI. </w:t>
      </w:r>
      <w:r>
        <w:rPr>
          <w:rFonts w:ascii="Arial" w:hAnsi="Arial"/>
          <w:color w:val="1A1A2E"/>
          <w:sz w:val="20"/>
        </w:rPr>
        <w:t>Японская розничная сеть MUJI (Ryohin Keikaku) — якорный экспортный канал с 2010 года. На 2021 г. MUJI обеспечивает ≈40% общей выручки «OVOP+1», ежегодно реализуя 10–20 уникальных товарных позиций (войлочные сувениры, варенья) во всех международных магазинах сети. Это единственный в портфеле JICA по всему миру случай столь глубокой интеграции международного розничного бренда премиум-сегмента в программу развития сельских территорий.</w:t>
      </w:r>
    </w:p>
    <w:p>
      <w:pPr>
        <w:spacing w:before="40" w:after="60" w:line="250" w:lineRule="exact"/>
      </w:pPr>
      <w:r>
        <w:rPr>
          <w:rFonts w:ascii="Arial" w:hAnsi="Arial"/>
          <w:b/>
          <w:color w:val="2D2560"/>
          <w:sz w:val="20"/>
        </w:rPr>
        <w:t xml:space="preserve">Региональные. </w:t>
      </w:r>
      <w:r>
        <w:rPr>
          <w:rFonts w:ascii="Arial" w:hAnsi="Arial"/>
          <w:color w:val="1A1A2E"/>
          <w:sz w:val="20"/>
        </w:rPr>
        <w:t>Кыргызская модель стала эталонной для ЦА. С января 2024 г. JICA Phase 4 распространяет её на Казахстан и Таджикистан. Параллельно через ПРООН и Правительство Японии кыргызские эксперты передают методологию в Каракалпакстан (Узбекистан) в рамках программы ФАО OCOP (2023–2025): 60+ участников обучено, 20 запустили продукты к 2024 г., целевые показатели — 80 производителей и 300 сельских жителей. На саммите «ЦА + Япония» (Токио, дек. 2025) OVOP-Кыргызстан представлена как флагманская программа Японии в регионе.</w:t>
      </w:r>
    </w:p>
    <w:p>
      <w:pPr>
        <w:spacing w:before="40" w:after="60" w:line="250" w:lineRule="exact"/>
      </w:pPr>
      <w:r>
        <w:rPr>
          <w:rFonts w:ascii="Arial" w:hAnsi="Arial"/>
          <w:b/>
          <w:color w:val="2D2560"/>
          <w:sz w:val="20"/>
        </w:rPr>
        <w:t xml:space="preserve">Признание. </w:t>
      </w:r>
      <w:r>
        <w:rPr>
          <w:rFonts w:ascii="Arial" w:hAnsi="Arial"/>
          <w:color w:val="1A1A2E"/>
          <w:sz w:val="20"/>
        </w:rPr>
        <w:t>Минэкономики КР называет программу «одним из наиболее успешных проектов» (2014). Премия Kyrgyzstan Traditional Product Award (2022, казы — конская колбаса). «OVOP+1» — лучший экспортёр войлочных изделий КР (2018). В 2026 году JICA выпустила официальную манга-публикацию о программе как образцовом кейсе японского международного сотрудничества.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7087"/>
        <w:gridCol w:w="1474"/>
        <w:gridCol w:w="1474"/>
      </w:tblGrid>
      <w:tr>
        <w:tc>
          <w:tcPr>
            <w:tcW w:type="dxa" w:w="3345"/>
            <w:shd w:val="clear" w:color="auto" w:fill="2D2560"/>
            <w:tcMar>
              <w:top w:w="68" w:type="dxa"/>
              <w:left w:w="170" w:type="dxa"/>
              <w:bottom w:w="68" w:type="dxa"/>
              <w:right w:w="113" w:type="dxa"/>
            </w:tcMar>
          </w:tcPr>
          <w:p>
            <w:pPr>
              <w:spacing w:before="0" w:after="0" w:line="200" w:lineRule="exact"/>
            </w:pPr>
            <w:r>
              <w:rPr>
                <w:rFonts w:ascii="Arial Black" w:hAnsi="Arial Black"/>
                <w:b/>
                <w:color w:val="A3E635"/>
                <w:sz w:val="14"/>
              </w:rPr>
              <w:t xml:space="preserve">ИСТОЧНИКИ: </w:t>
            </w:r>
            <w:r>
              <w:rPr>
                <w:rFonts w:ascii="Arial" w:hAnsi="Arial"/>
                <w:color w:val="FFFFFF"/>
                <w:sz w:val="14"/>
              </w:rPr>
              <w:t>Аналитический отчёт CIAQ v1.1 (14.05.2026), 21 источник — JICA, OVOP+1, Минэкономики КР, Президент КР, ПРООН, ФАО, Kumtor, Murayama &amp; Son (Palgrave 2016).</w:t>
            </w:r>
          </w:p>
        </w:tc>
        <w:tc>
          <w:tcPr>
            <w:tcW w:type="dxa" w:w="3345"/>
            <w:shd w:val="clear" w:color="auto" w:fill="A3E635"/>
            <w:tcMar>
              <w:top w:w="68" w:type="dxa"/>
              <w:left w:w="113" w:type="dxa"/>
              <w:bottom w:w="68" w:type="dxa"/>
              <w:right w:w="113" w:type="dxa"/>
            </w:tcMar>
          </w:tcPr>
          <w:p>
            <w:pPr>
              <w:spacing w:before="0" w:after="0" w:line="200" w:lineRule="exact"/>
            </w:pPr>
            <w:r>
              <w:rPr>
                <w:rFonts w:ascii="Arial Black" w:hAnsi="Arial Black"/>
                <w:b/>
                <w:color w:val="2D2560"/>
                <w:sz w:val="14"/>
              </w:rPr>
              <w:t>CIAQ.KZ</w:t>
            </w:r>
          </w:p>
        </w:tc>
        <w:tc>
          <w:tcPr>
            <w:tcW w:type="dxa" w:w="3345"/>
            <w:shd w:val="clear" w:color="auto" w:fill="E05A20"/>
            <w:tcMar>
              <w:top w:w="68" w:type="dxa"/>
              <w:left w:w="113" w:type="dxa"/>
              <w:bottom w:w="68" w:type="dxa"/>
              <w:right w:w="113" w:type="dxa"/>
            </w:tcMar>
          </w:tcPr>
          <w:p>
            <w:pPr>
              <w:spacing w:before="0" w:after="0" w:line="200" w:lineRule="exact"/>
            </w:pPr>
            <w:r>
              <w:rPr>
                <w:rFonts w:ascii="Arial Black" w:hAnsi="Arial Black"/>
                <w:b/>
                <w:color w:val="FFFFFF"/>
                <w:sz w:val="14"/>
              </w:rPr>
              <w:t>DAVID@CREATA.TEAM</w:t>
            </w:r>
          </w:p>
        </w:tc>
      </w:tr>
    </w:tbl>
    <w:sectPr w:rsidR="00FC693F" w:rsidRPr="0006063C" w:rsidSect="00034616">
      <w:pgSz w:w="11906" w:h="16838"/>
      <w:pgMar w:top="680" w:right="850" w:bottom="56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