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690e849f7f8568b87cb5616b018aba3b8a322"/>
    <w:p>
      <w:pPr>
        <w:pStyle w:val="Heading1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32"/>
        </w:rPr>
        <w:t xml:space="preserve">Межведомственные структуры координации креативных индустрий: мировой опыт</w:t>
      </w:r>
    </w:p>
    <w:bookmarkStart w:id="9" w:name="X96591cfaa57367c72558948733be2e53327122a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Расширенный бенчмарк (26 стран), типология моделей, план и рекомендации для Казахстана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i/>
          <w:iCs/>
          <w:color w:val="000000"/>
          <w:sz w:val="24"/>
        </w:rPr>
        <w:t xml:space="preserve">Приложение к концепту «Межведомственная координация развития креативных индустрий». Данные собраны тремя волнами исследования (июнь–июль 2026), каждая позиция снабжена пометкой достоверности источника.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9"/>
    <w:bookmarkStart w:id="10" w:name="сводное-резюме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Сводное резюме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Страны, добившиеся роста креативной экономики, создавали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постоянный орган координации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между ведомствами. Формы три: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межведомственный совет</w:t>
      </w:r>
      <w:r>
        <w:rPr>
          <w:rFonts w:ascii="Times New Roman" w:hAnsi="Times New Roman"/>
          <w:color w:val="000000"/>
          <w:sz w:val="24"/>
        </w:rPr>
        <w:t xml:space="preserve">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государственно-отраслевой форум/программа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специализированное агентство</w:t>
      </w:r>
      <w:r>
        <w:rPr>
          <w:rFonts w:ascii="Times New Roman" w:hAnsi="Times New Roman"/>
          <w:color w:val="000000"/>
          <w:sz w:val="24"/>
        </w:rPr>
        <w:t xml:space="preserve">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Для задачи Казахстана наиболее релевантна модель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межведомственного совета, закреплённого нормативным актом</w:t>
      </w:r>
      <w:r>
        <w:rPr>
          <w:rFonts w:ascii="Times New Roman" w:hAnsi="Times New Roman"/>
          <w:color w:val="000000"/>
          <w:sz w:val="24"/>
        </w:rPr>
        <w:t xml:space="preserve">. Самый полно задокументированный образец —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Филиппины: Совет по развитию креативных индустрий (PCIDC), 2022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10 ведомств по должности + 9 представителей бизнеса, председатель по должности, обязательный национальный план с показателями.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Такую же логику используют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Колумбия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(Совет оранжевой экономики, 2017),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Узбекистан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(Республиканский совет, 2024),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Литва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(2018),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Латвия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(2014) и — важно — сосед по ЕАЭС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Россия</w:t>
      </w:r>
      <w:r>
        <w:rPr>
          <w:rFonts w:ascii="Times New Roman" w:hAnsi="Times New Roman"/>
          <w:color w:val="000000"/>
          <w:sz w:val="24"/>
        </w:rPr>
        <w:t xml:space="preserve">, где при Правительстве создаётся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Координационный совет по развитию креативных индустрий</w:t>
      </w:r>
      <w:r>
        <w:rPr>
          <w:rFonts w:ascii="Times New Roman" w:hAnsi="Times New Roman"/>
          <w:color w:val="000000"/>
          <w:sz w:val="24"/>
        </w:rPr>
        <w:t xml:space="preserve">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Профильное министерство в одиночку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(без координационного органа) — самая слабая модель: именно в неё сейчас упирается Казахстан.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Рекомендация: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межведомственный совет при Правительстве, закреплённый постановлением, с составом по должности, со-председателем от отрасли, секретариатом и обязательным публичным отчётом. Новое ведомство не требуется.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0"/>
    <w:bookmarkStart w:id="11" w:name="методология-и-охват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1. Методология и охват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Изучены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26 стран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на пяти континентах (плюс страны с «отрицательным результатом», где формальных советов не выявлено — см. ниже). Источники — официальные тексты законов, правительственные порталы, ЮНЕСКО, ВОИС, ЮНКТАД и отраслевые публикации. Для каждой позиции указана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достоверность</w:t>
      </w:r>
      <w:r>
        <w:rPr>
          <w:rFonts w:ascii="Times New Roman" w:hAnsi="Times New Roman"/>
          <w:color w:val="000000"/>
          <w:sz w:val="24"/>
        </w:rPr>
        <w:t xml:space="preserve">: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Надёжно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прямая цитата из первоисточника (закон, правительственный акт/портал).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Средне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подтверждено вторичными источниками, без прямого первоисточника.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Слабо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реконструкция; первоисточник не найден или выдача поиска нерелевантна. Такие позиции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нельзя использовать в госдокументе без отдельной сверки</w:t>
      </w:r>
      <w:r>
        <w:rPr>
          <w:rFonts w:ascii="Times New Roman" w:hAnsi="Times New Roman"/>
          <w:color w:val="000000"/>
          <w:sz w:val="24"/>
        </w:rPr>
        <w:t xml:space="preserve">.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Этот принцип честной пометки источников принципиален: несколько позиций (Эквадор, Бразилия, Грузия, часть Европы) держатся на слабых источниках и вынесены отдельно.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1"/>
    <w:bookmarkStart w:id="16" w:name="сводная-таблица-структуры-по-странам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2. Сводная таблица: структуры по странам</w:t>
      </w:r>
    </w:p>
    <w:bookmarkStart w:id="12" w:name="X1f0c710bb444cc8c3aa10db1b69ce45258ce070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2.1. Межведомственные советы (наиболее релевантно для РК)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850"/>
        <w:gridCol w:w="2946"/>
        <w:gridCol w:w="588"/>
        <w:gridCol w:w="2943"/>
        <w:gridCol w:w="2028"/>
      </w:tblGrid>
      <w:tr>
        <w:trPr>
          <w:tblHeader w:val="on"/>
        </w:trP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Структура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Краткое описание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🇵🇭 Филиппины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Creative Industries Development Council (PCIDC)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2022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RA 11904. 19 членов: 10 ведомств по должности (торговля, образование, наука, ИКТ, туризм, труд, бюджет, высшее образование, культура, интеллект. собственность) + 9 от бизнеса. Председатель — министр торговли; со-председатель — от частного сектора. Обязательный нацплан с KPI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Надёжно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⭐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🇨🇴 Колумбия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Consejo Nacional de la Economía Naranja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2017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1834 («Ley Naranja»). 7 министерств + 5 ведомств, председатель — министр культуры. Обязательный статотчёт по сектору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 (сверить Ley 1834)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🇺🇿 Узбекистан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Республиканский совет по развитию креативной экономики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2024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ЗРУ-970. Состав утверждает Президент, координация — Кабинет Министров, секретариат — профильный фонд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🇷🇺 Россия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Координационный совет по развитию креативных индустрий при Правительстве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(+ уполномоченный орган по 330-ФЗ)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2024–2025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ФЗ-330 (2024); Минэкономразвития объявило о создании координационного совета при Правительстве. Уполномоченный орган — Минэкономразвития, единый реестр субъектов; цель — 6% ВВП к 2030.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Прямой прецедент по образцу нашего предложения у соседа по ЕАЭС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 (сверить акт о совете)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🇱🇹 Литва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Совет по креативным и культурным индустриям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Межведомственный координационный совет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🇱🇻 Латвия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Совет креативных индустрий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2014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Координационный совет: государство + бизнес + сектор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🇪🇨 Эквадор</w:t>
            </w:r>
          </w:p>
        </w:tc>
        <w:tc>
          <w:tcPr>
            <w:tcW w:w="294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Comité Interinstitucional de Economía Creativa</w:t>
            </w:r>
          </w:p>
        </w:tc>
        <w:tc>
          <w:tcPr>
            <w:tcW w:w="58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294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Межведомственный механизм по Закону об оранжевой экономике</w:t>
            </w:r>
          </w:p>
        </w:tc>
        <w:tc>
          <w:tcPr>
            <w:tcW w:w="202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Слабо (первоисточник не найден)</w:t>
            </w:r>
          </w:p>
        </w:tc>
      </w:tr>
    </w:tbl>
    <w:bookmarkEnd w:id="12"/>
    <w:bookmarkStart w:id="13" w:name="X88436060f810ca572e48312bbb2dc693494b0cb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2.2. Государственно-отраслевые форумы и национальные программы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1472"/>
        <w:gridCol w:w="2511"/>
        <w:gridCol w:w="520"/>
        <w:gridCol w:w="3726"/>
        <w:gridCol w:w="1126"/>
      </w:tblGrid>
      <w:tr>
        <w:trPr>
          <w:tblHeader w:val="on"/>
        </w:trPr>
        <w:tc>
          <w:tcPr>
            <w:tcW w:w="147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251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Структура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37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Краткое описание</w:t>
            </w:r>
          </w:p>
        </w:tc>
        <w:tc>
          <w:tcPr>
            <w:tcW w:w="11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</w:tr>
      <w:tr>
        <w:tc>
          <w:tcPr>
            <w:tcW w:w="147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🇬🇧 Великобритания</w:t>
            </w:r>
          </w:p>
        </w:tc>
        <w:tc>
          <w:tcPr>
            <w:tcW w:w="251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Creative Industries Council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2011</w:t>
            </w:r>
          </w:p>
        </w:tc>
        <w:tc>
          <w:tcPr>
            <w:tcW w:w="37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Совместно возглавляют два министра (культуры и бизнеса) и два лидера индустрии. Цель Sector Plan 2025: рост инвестиций бизнеса с £17 до £31 млрд к 2035</w:t>
            </w:r>
          </w:p>
        </w:tc>
        <w:tc>
          <w:tcPr>
            <w:tcW w:w="11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</w:tr>
      <w:tr>
        <w:tc>
          <w:tcPr>
            <w:tcW w:w="147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🇮🇪 Ирландия</w:t>
            </w:r>
          </w:p>
        </w:tc>
        <w:tc>
          <w:tcPr>
            <w:tcW w:w="251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Creative Ireland Programme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2017</w:t>
            </w:r>
          </w:p>
        </w:tc>
        <w:tc>
          <w:tcPr>
            <w:tcW w:w="37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Национальная межведомственная программа: несколько министерств + местные власти</w:t>
            </w:r>
          </w:p>
        </w:tc>
        <w:tc>
          <w:tcPr>
            <w:tcW w:w="11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7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🇳🇱 Нидерланды</w:t>
            </w:r>
          </w:p>
        </w:tc>
        <w:tc>
          <w:tcPr>
            <w:tcW w:w="251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Topsector Creatieve Industrie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2011</w:t>
            </w:r>
          </w:p>
        </w:tc>
        <w:tc>
          <w:tcPr>
            <w:tcW w:w="37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Государственно-частная координационная платформа (топ-сектор)</w:t>
            </w:r>
          </w:p>
        </w:tc>
        <w:tc>
          <w:tcPr>
            <w:tcW w:w="11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7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🇹🇭 Таиланд</w:t>
            </w:r>
          </w:p>
        </w:tc>
        <w:tc>
          <w:tcPr>
            <w:tcW w:w="251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Creative Economy Agency (CEA)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37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при Аппарате Премьер-Министра, 15 креативных индустрий</w:t>
            </w:r>
          </w:p>
        </w:tc>
        <w:tc>
          <w:tcPr>
            <w:tcW w:w="112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</w:tr>
    </w:tbl>
    <w:bookmarkEnd w:id="13"/>
    <w:bookmarkStart w:id="14" w:name="специализированные-агентства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2.3. Специализированные агентства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774"/>
        <w:gridCol w:w="2905"/>
        <w:gridCol w:w="580"/>
        <w:gridCol w:w="2903"/>
        <w:gridCol w:w="2193"/>
      </w:tblGrid>
      <w:tr>
        <w:trPr>
          <w:tblHeader w:val="on"/>
        </w:trPr>
        <w:tc>
          <w:tcPr>
            <w:tcW w:w="77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290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Структура</w:t>
            </w:r>
          </w:p>
        </w:tc>
        <w:tc>
          <w:tcPr>
            <w:tcW w:w="58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290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Краткое описание</w:t>
            </w:r>
          </w:p>
        </w:tc>
        <w:tc>
          <w:tcPr>
            <w:tcW w:w="219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</w:tr>
      <w:tr>
        <w:tc>
          <w:tcPr>
            <w:tcW w:w="77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🇮🇩 Индонезия</w:t>
            </w:r>
          </w:p>
        </w:tc>
        <w:tc>
          <w:tcPr>
            <w:tcW w:w="290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BEKRAF → Министерство креативной экономики</w:t>
            </w:r>
          </w:p>
        </w:tc>
        <w:tc>
          <w:tcPr>
            <w:tcW w:w="58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2015 → 2024</w:t>
            </w:r>
          </w:p>
        </w:tc>
        <w:tc>
          <w:tcPr>
            <w:tcW w:w="290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при Президенте; результат — 7,3% ВВП и ~15,9 млн рабочих мест (эпоха BEKRAF, 2017); с 2024 — отдельное министерство</w:t>
            </w:r>
          </w:p>
        </w:tc>
        <w:tc>
          <w:tcPr>
            <w:tcW w:w="219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 (цифры — 2017)</w:t>
            </w:r>
          </w:p>
        </w:tc>
      </w:tr>
      <w:tr>
        <w:tc>
          <w:tcPr>
            <w:tcW w:w="77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🇦🇺 Австралия</w:t>
            </w:r>
          </w:p>
        </w:tc>
        <w:tc>
          <w:tcPr>
            <w:tcW w:w="290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Creative Australia</w:t>
            </w:r>
          </w:p>
        </w:tc>
        <w:tc>
          <w:tcPr>
            <w:tcW w:w="58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2023</w:t>
            </w:r>
          </w:p>
        </w:tc>
        <w:tc>
          <w:tcPr>
            <w:tcW w:w="290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Установленный законом орган (Creative Australia Act 2023) на базе Australia Council; инвестиции и гранты, часть политики Revive</w:t>
            </w:r>
          </w:p>
        </w:tc>
        <w:tc>
          <w:tcPr>
            <w:tcW w:w="219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</w:tr>
      <w:tr>
        <w:tc>
          <w:tcPr>
            <w:tcW w:w="77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🇰🇷 Ю. Корея</w:t>
            </w:r>
          </w:p>
        </w:tc>
        <w:tc>
          <w:tcPr>
            <w:tcW w:w="290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KOCCA (Korea Creative Content Agency)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+ рамочный закон</w:t>
            </w:r>
          </w:p>
        </w:tc>
        <w:tc>
          <w:tcPr>
            <w:tcW w:w="58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2009</w:t>
            </w:r>
          </w:p>
        </w:tc>
        <w:tc>
          <w:tcPr>
            <w:tcW w:w="290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Центральное агентство контент-индустрий при Министерстве культуры, спорта и туризма; создано слиянием трёх отраслевых институтов; финансирование, экспорт, R&amp;D, кадры, сеть зарубежных офисов. Рамочный акт — Framework Act on the Promotion of Cultural Industries.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Ключевой эталон «агентской» модели</w:t>
            </w:r>
          </w:p>
        </w:tc>
        <w:tc>
          <w:tcPr>
            <w:tcW w:w="219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 (год 2009)</w:t>
            </w:r>
          </w:p>
        </w:tc>
      </w:tr>
      <w:tr>
        <w:tc>
          <w:tcPr>
            <w:tcW w:w="77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🇬🇪 Грузия</w:t>
            </w:r>
          </w:p>
        </w:tc>
        <w:tc>
          <w:tcPr>
            <w:tcW w:w="290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Creative Georgia</w:t>
            </w:r>
          </w:p>
        </w:tc>
        <w:tc>
          <w:tcPr>
            <w:tcW w:w="58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сер. 2010-х</w:t>
            </w:r>
          </w:p>
        </w:tc>
        <w:tc>
          <w:tcPr>
            <w:tcW w:w="290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Национальное агентство КИ при Министерстве культуры</w:t>
            </w:r>
          </w:p>
        </w:tc>
        <w:tc>
          <w:tcPr>
            <w:tcW w:w="219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Слабо (год/статус не подтверждены)</w:t>
            </w:r>
          </w:p>
        </w:tc>
      </w:tr>
    </w:tbl>
    <w:bookmarkEnd w:id="14"/>
    <w:bookmarkStart w:id="15" w:name="Xdf09c12b4fc5ea0b29a0b84f249c73d92078b28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2.4. Профильное министерство / уполномоченный орган / гибрид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1417"/>
        <w:gridCol w:w="3191"/>
        <w:gridCol w:w="637"/>
        <w:gridCol w:w="3189"/>
        <w:gridCol w:w="921"/>
      </w:tblGrid>
      <w:tr>
        <w:trPr>
          <w:tblHeader w:val="on"/>
        </w:trP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Структура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Краткое описание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🇦🇪 ОАЭ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молодёжи + нацстратегия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2018/2021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Национальная стратегия КИ; цель — 5% ВВП к 2031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🇰🇬 Кыргызстан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Указ Президента + Концепция +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Парк креативных индустрий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(Дирекция + Наблюдательный совет)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2022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Указ Президента (апрель 2022) о развитии креативной экономики и создании ПКИ; Концепция 2022–2026; управление ПКИ — Дирекция + Наблюдательный совет; льготный налог 1% (→2% с 2027). Постоянного межведомственного совета нет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🇸🇦 Саудовская Аравия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+ 11 отраслевых комиссий + Cultural Development Fund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2018–2020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11 комиссий по подсекторам, координация в рамках Vision 2030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🇳🇬 Нигерия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искусства, культуры, туризма и креативной экономики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2023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Профильное министерство; межведомственного совета нет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🇧🇷 Бразилия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Secretaria da Economia Criativa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2012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Секретариат креативной экономики в Минкультуры; сейчас — распределённая координация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Слабо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🇲🇾 Малайзия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CENDANA + MyCreative Ventures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2016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развития культурной экономики + госинвесткомпания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🇸🇬 Сингапур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Industries Strategy + DesignSingapore + IMDA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2002/2016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Рамочная стратегия + отраслевые советы + медиарегулятор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🇿🇦 ЮАР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спорта, искусства и культуры + NFVF/NAC + программа Mzansi Golden Economy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2019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фонды + межведомственные рабочие группы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🇰🇪 Кения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Профильное министерство + Kenya Film Commission + Copyright Board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2005+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специализированные агентства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🇬🇭 Гана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туризма, искусства и культуры + Комиссия по культуре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2013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комиссия; отдельный совет КИ обсуждается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  <w:tr>
        <w:tc>
          <w:tcPr>
            <w:tcW w:w="141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🇷🇼 Руанда</w:t>
            </w:r>
          </w:p>
        </w:tc>
        <w:tc>
          <w:tcPr>
            <w:tcW w:w="31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молодёжи и культуры + Rwanda Development Board</w:t>
            </w:r>
          </w:p>
        </w:tc>
        <w:tc>
          <w:tcPr>
            <w:tcW w:w="63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2009</w:t>
            </w:r>
          </w:p>
        </w:tc>
        <w:tc>
          <w:tcPr>
            <w:tcW w:w="318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агентство развития</w:t>
            </w:r>
          </w:p>
        </w:tc>
        <w:tc>
          <w:tcPr>
            <w:tcW w:w="92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</w:tr>
    </w:tbl>
    <w:p>
      <w:pPr>
        <w:pStyle w:val="BlockText"/>
        <w:spacing w:before="60" w:after="12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Отрицательный результат (тоже ценен):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в Аргентине, Перу, Чили и Коста-Рике формальных национальных советов по креативной экономике не выявлено — координация идёт через профильные министерства. В Эстонии, Польше, Дании отдельных агентств/советов также нет.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5"/>
    <w:bookmarkEnd w:id="16"/>
    <w:bookmarkStart w:id="17" w:name="типология-три-рабочие-модели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3. Типология: три рабочие модели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2394"/>
        <w:gridCol w:w="2391"/>
        <w:gridCol w:w="2391"/>
        <w:gridCol w:w="2179"/>
      </w:tblGrid>
      <w:tr>
        <w:trPr>
          <w:tblHeader w:val="on"/>
        </w:trPr>
        <w:tc>
          <w:tcPr>
            <w:tcW w:w="2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Модель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Кто использует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Сильные стороны</w:t>
            </w:r>
          </w:p>
        </w:tc>
        <w:tc>
          <w:tcPr>
            <w:tcW w:w="217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Слабые стороны</w:t>
            </w:r>
          </w:p>
        </w:tc>
      </w:tr>
      <w:tr>
        <w:tc>
          <w:tcPr>
            <w:tcW w:w="2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1. Межведомственный совет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(закреплён актом)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Филиппины, Колумбия, Узбекистан, Литва, Латвия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Прямо решает раздробленность; не требует нового ведомства и бюджета; политический вес</w:t>
            </w:r>
          </w:p>
        </w:tc>
        <w:tc>
          <w:tcPr>
            <w:tcW w:w="217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Нужна дисциплина исполнения и секретариат</w:t>
            </w:r>
          </w:p>
        </w:tc>
      </w:tr>
      <w:tr>
        <w:tc>
          <w:tcPr>
            <w:tcW w:w="2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2. Гос.-отраслевой форум / программа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Великобритания, Ирландия, Нидерланды, Таиланд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Встраивает бизнес в выработку решений</w:t>
            </w:r>
          </w:p>
        </w:tc>
        <w:tc>
          <w:tcPr>
            <w:tcW w:w="217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Меньше распорядительных полномочий</w:t>
            </w:r>
          </w:p>
        </w:tc>
      </w:tr>
      <w:tr>
        <w:tc>
          <w:tcPr>
            <w:tcW w:w="2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3. Специализированное агентство / министерство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Индонезия, Австралия, ОАЭ, Саудовская Аравия</w:t>
            </w:r>
          </w:p>
        </w:tc>
        <w:tc>
          <w:tcPr>
            <w:tcW w:w="239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Максимальная отдача и ресурс</w:t>
            </w:r>
          </w:p>
        </w:tc>
        <w:tc>
          <w:tcPr>
            <w:tcW w:w="217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Дорого: отдельный бюджет, штат, аппарат</w:t>
            </w:r>
          </w:p>
        </w:tc>
      </w:tr>
    </w:tbl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Вывод: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модель №1 (совет) даёт наибольший эффект при наименьших затратах. Именно её мы рекомендуем Казахстану.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7"/>
    <w:bookmarkStart w:id="18" w:name="X3766d2614ebfbcd9153a7d5845084a9235e2252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4. Эталон для проектирования: Филиппины (PCIDC, 2022)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Из всех изученных структур филиппинский совет задокументирован полнее всех и ближе всего к задаче Казахстана. Что стоит перенять: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Состав по должности (ex officio).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В совет входят не персоналии, а должностные лица десяти ведомств — состав не «плавает» при кадровых перестановках.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Председатель по должности.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Возглавляет профильный министр (у Филиппин — торговли); это даёт органу вес и постоянство.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Со-председатель от бизнеса.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Девять представителей частного сектора — полноправные члены, один из них со-председатель. Отрасль не «консультируют», а включают в принятие решений.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Обязательный национальный план с показателями.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Совет обязан разработать и вести план развития КИ с целями по ВВП, занятости, интеллектуальной собственности и экспорту.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Закрепление законом.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Орган создан не поручением, а законом — это гарантирует устойчивость.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8"/>
    <w:bookmarkStart w:id="19" w:name="ключевые-наблюдения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5. Ключевые наблюдения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Общее у сильных моделей: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постоянный орган + политический вес выше отдельного министерства + фиксированный состав по должности + секретариат + измеримые показатели + участие бизнеса.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Закрепление актом важнее формы.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Работают и совет, и агентство, и форум — но только если закреплены нормативно и имеют секретариат. Разовые поручения без органа результата не дают.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Статистика как обязанность.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Колумбия и Филиппины прямо обязали публиковать регулярный отчёт по сектору. Это дисциплинирует и делает прогресс проверяемым.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Бизнес — соавтор, а не адресат.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В Филиппинах, Великобритании, Нидерландах отрасль входит в орган с правом голоса.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Прецедент в ЕАЭС.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Россия — в той же интеграционной и правовой традиции — создаёт Координационный совет по развитию креативных индустрий при Правительстве. Казахстану логично оформить аналогичный орган, не отставая от союзного партнёра.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Если выбирать агентскую модель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эталоны KOCCA (Корея, 2009), BEKRAF/Индонезия и Creative Australia (2023): больше отдача, но нужен отдельный бюджет и штат.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9"/>
    <w:bookmarkStart w:id="20" w:name="план-для-казахстана-дорожная-карта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6. План для Казахстана: дорожная карта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534"/>
        <w:gridCol w:w="6015"/>
        <w:gridCol w:w="2806"/>
      </w:tblGrid>
      <w:tr>
        <w:trPr>
          <w:tblHeader w:val="on"/>
        </w:trP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Шаг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Действие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Срок (ориентировочно)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Внести инициативу в Правительство (законодательный трек — Курултай или Народный совет РК, при поддержке Министерства культуры и информации), приложив настоящий бенчмарк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III квартал 2026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Доверифицировать эталонные модели по первоисточникам (Филиппины RA 11904, Колумбия Ley 1834) и подготовить проект положения о Совете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III–IV квартал 2026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3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Утвердить постановлением Правительства состав (по должности), председателя (Заместитель Премьер-Министра), со-председателя от отрасли, секретариат (МКИ + CIAQ)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IV квартал 2026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4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Первое заседание; утверждение показателей и обязанности публичного отчёта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 квартал 2027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5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Синхронизация мер поддержки с реестром субъектов КИ; первый публичный отчёт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II–III квартал 2027</w:t>
            </w:r>
          </w:p>
        </w:tc>
      </w:tr>
    </w:tbl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20"/>
    <w:bookmarkStart w:id="21" w:name="рекомендации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7. Рекомендации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Выбрать модель межведомственного совета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(не новое ведомство). Это подтверждено опытом Филиппин, Колумбии, Узбекистана и Балтии и требует наименьших затрат.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Закрепить орган нормативным актом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как минимум постановлением Правительства; при возможности вынести на уровень закона (как Узбекистан и Филиппины), что придаёт устойчивость.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Ввести состав по должности (ex officio)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по образцу Филиппин, чтобы состав не зависел от кадровых перестановок.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Дать бизнесу место с правом голоса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со-председатель от отрасли (CIAQ / НПП «Атамекен»), как на Филиппинах и в Великобритании.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Председатель — Заместитель Премьер-Министра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для веса выше отдельного министерства.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Три палаты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(из концепта): министерства (политика) + институты развития и операторы (исполнение) + отрасль и регионы.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Обязать публиковать ежегодный отчёт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по сектору (модель Колумбии и Филиппин) — это делает прогресс проверяемым.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Главная задача Совета с первого дня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привязать меры поддержки к статусу субъекта из реестра.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21"/>
    <w:bookmarkStart w:id="22" w:name="X5d5eb1e3add5de9db8f9c81006ed7eda179b7d5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Приложение. Достоверность и что доверить перед подачей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Надёжно подтверждено (можно использовать):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Филиппины (PCIDC, 2022), Австралия (Creative Australia, 2023), Великобритания (CIC, 2011), Индонезия, ОАЭ, Россия, Узбекистан, Таиланд.</w:t>
      </w:r>
    </w:p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Требует сверки по первоисточнику перед госдокументом:</w:t>
      </w:r>
    </w:p>
    <w:p>
      <w:pPr>
        <w:pStyle w:val="Compact"/>
        <w:numPr>
          <w:ilvl w:val="0"/>
          <w:numId w:val="1006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Колумбия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состав «7 министерств + 5 ведомств» держится на формулировке ЮНЕСКО; сверить по тексту Ley 1834 de 2017 и регламентирующему декрету.</w:t>
      </w:r>
    </w:p>
    <w:p>
      <w:pPr>
        <w:pStyle w:val="Compact"/>
        <w:numPr>
          <w:ilvl w:val="0"/>
          <w:numId w:val="1006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Литва (2018), Латвия (2014), Ирландия (2017), Нидерланды (2011)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правдоподобны, но без прямых первоисточников; сверить перед цитированием.</w:t>
      </w:r>
    </w:p>
    <w:p>
      <w:pPr>
        <w:pStyle w:val="Compact"/>
        <w:numPr>
          <w:ilvl w:val="0"/>
          <w:numId w:val="1006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Эквадор, Бразилия, Грузия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источники слабые/нерелевантные; использовать только после отдельной проверки.</w:t>
      </w:r>
    </w:p>
    <w:p>
      <w:pPr>
        <w:pStyle w:val="Compact"/>
        <w:numPr>
          <w:ilvl w:val="0"/>
          <w:numId w:val="1006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Индонезия 7,3% ВВП / 15,9 млн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цифры эпохи BEKRAF (2017), указывать с годом.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Отрицательные результаты (проверены):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Аргентина, Перу, Чили, Коста-Рика, Эстония, Польша, Дания — формальных советов КИ нет.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i/>
          <w:iCs/>
          <w:color w:val="000000"/>
          <w:sz w:val="24"/>
        </w:rPr>
        <w:t xml:space="preserve">Документ подготовлен CIAQ. Источники исследования:</w:t>
      </w:r>
      <w:r>
        <w:rPr>
          <w:rFonts w:ascii="Times New Roman" w:hAnsi="Times New Roman"/>
          <w:i/>
          <w:iCs/>
          <w:color w:val="000000"/>
          <w:sz w:val="24"/>
        </w:rPr>
        <w:t xml:space="preserve"> </w:t>
      </w:r>
      <w:r>
        <w:rPr>
          <w:rStyle w:val="VerbatimChar"/>
          <w:rFonts w:ascii="Times New Roman" w:hAnsi="Times New Roman"/>
          <w:i/>
          <w:iCs/>
          <w:color w:val="000000"/>
          <w:sz w:val="24"/>
        </w:rPr>
        <w:t xml:space="preserve">Research/Расширенный бенчмарк/</w:t>
      </w:r>
      <w:r>
        <w:rPr>
          <w:rFonts w:ascii="Times New Roman" w:hAnsi="Times New Roman"/>
          <w:i/>
          <w:iCs/>
          <w:color w:val="000000"/>
          <w:sz w:val="24"/>
        </w:rPr>
        <w:t xml:space="preserve">,</w:t>
      </w:r>
      <w:r>
        <w:rPr>
          <w:rFonts w:ascii="Times New Roman" w:hAnsi="Times New Roman"/>
          <w:i/>
          <w:iCs/>
          <w:color w:val="000000"/>
          <w:sz w:val="24"/>
        </w:rPr>
        <w:t xml:space="preserve"> </w:t>
      </w:r>
      <w:r>
        <w:rPr>
          <w:rStyle w:val="VerbatimChar"/>
          <w:rFonts w:ascii="Times New Roman" w:hAnsi="Times New Roman"/>
          <w:i/>
          <w:iCs/>
          <w:color w:val="000000"/>
          <w:sz w:val="24"/>
        </w:rPr>
        <w:t xml:space="preserve">Research/Проверка тезисов 2026-07/</w:t>
      </w:r>
      <w:r>
        <w:rPr>
          <w:rFonts w:ascii="Times New Roman" w:hAnsi="Times New Roman"/>
          <w:i/>
          <w:iCs/>
          <w:color w:val="000000"/>
          <w:sz w:val="24"/>
        </w:rPr>
        <w:t xml:space="preserve">,</w:t>
      </w:r>
      <w:r>
        <w:rPr>
          <w:rFonts w:ascii="Times New Roman" w:hAnsi="Times New Roman"/>
          <w:i/>
          <w:iCs/>
          <w:color w:val="000000"/>
          <w:sz w:val="24"/>
        </w:rPr>
        <w:t xml:space="preserve"> </w:t>
      </w:r>
      <w:r>
        <w:rPr>
          <w:rStyle w:val="VerbatimChar"/>
          <w:rFonts w:ascii="Times New Roman" w:hAnsi="Times New Roman"/>
          <w:i/>
          <w:iCs/>
          <w:color w:val="000000"/>
          <w:sz w:val="24"/>
        </w:rPr>
        <w:t xml:space="preserve">Research/Институты развития/</w:t>
      </w:r>
      <w:r>
        <w:rPr>
          <w:rFonts w:ascii="Times New Roman" w:hAnsi="Times New Roman"/>
          <w:i/>
          <w:iCs/>
          <w:color w:val="000000"/>
          <w:sz w:val="24"/>
        </w:rPr>
        <w:t xml:space="preserve">. Контакт: info@ciaq.kz · ciaq.kz</w:t>
      </w:r>
    </w:p>
    <w:bookmarkEnd w:id="22"/>
    <w:bookmarkEnd w:id="23"/>
    <w:sectPr>
      <w:footnotePr>
        <w:numRestart w:val="eachSect"/>
      </w:footnotePr>
      <w:pgMar w:top="1134" w:bottom="1134" w:left="1701" w:right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25" w:hanging="215"/>
      </w:pPr>
    </w:lvl>
    <w:lvl w:ilvl="1">
      <w:numFmt w:val="bullet"/>
      <w:lvlText w:val=" "/>
      <w:lvlJc w:val="left"/>
      <w:pPr>
        <w:ind w:left="850" w:hanging="215"/>
      </w:pPr>
    </w:lvl>
    <w:lvl w:ilvl="2">
      <w:numFmt w:val="bullet"/>
      <w:lvlText w:val=" "/>
      <w:lvlJc w:val="left"/>
      <w:pPr>
        <w:ind w:left="1275" w:hanging="215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25" w:hanging="215"/>
      </w:pPr>
    </w:lvl>
    <w:lvl w:ilvl="1">
      <w:start w:val="1"/>
      <w:numFmt w:val="decimal"/>
      <w:lvlText w:val="%2."/>
      <w:lvlJc w:val="left"/>
      <w:pPr>
        <w:ind w:left="850" w:hanging="215"/>
      </w:pPr>
    </w:lvl>
    <w:lvl w:ilvl="2">
      <w:start w:val="1"/>
      <w:numFmt w:val="decimal"/>
      <w:lvlText w:val="%3."/>
      <w:lvlJc w:val="left"/>
      <w:pPr>
        <w:ind w:left="1275" w:hanging="215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25" w:hanging="215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50" w:hanging="215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75" w:hanging="215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2026-07-13T11:35:08Z</dcterms:created>
  <dcterms:modified xsi:type="dcterms:W3CDTF">2026-07-13T11:35:08Z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втор">
    <vt:lpwstr>CIAQ — Альянс креативных индустрий Казахстана</vt:lpwstr>
  </property>
  <property fmtid="{D5CDD505-2E9C-101B-9397-08002B2CF9AE}" pid="3" name="адресат">
    <vt:lpwstr>Курултай РК, Народный совет Казахстана, Правительство РК</vt:lpwstr>
  </property>
  <property fmtid="{D5CDD505-2E9C-101B-9397-08002B2CF9AE}" pid="4" name="дата">
    <vt:lpwstr>2026-07-01</vt:lpwstr>
  </property>
  <property fmtid="{D5CDD505-2E9C-101B-9397-08002B2CF9AE}" pid="5" name="комитет">
    <vt:lpwstr>GR</vt:lpwstr>
  </property>
  <property fmtid="{D5CDD505-2E9C-101B-9397-08002B2CF9AE}" pid="6" name="проект">
    <vt:lpwstr>CIAQ</vt:lpwstr>
  </property>
  <property fmtid="{D5CDD505-2E9C-101B-9397-08002B2CF9AE}" pid="7" name="статус">
    <vt:lpwstr>draft</vt:lpwstr>
  </property>
  <property fmtid="{D5CDD505-2E9C-101B-9397-08002B2CF9AE}" pid="8" name="строгость">
    <vt:lpwstr>strict</vt:lpwstr>
  </property>
  <property fmtid="{D5CDD505-2E9C-101B-9397-08002B2CF9AE}" pid="9" name="тема">
    <vt:lpwstr>Межведомственные структуры координации креативных индустрий в мире</vt:lpwstr>
  </property>
  <property fmtid="{D5CDD505-2E9C-101B-9397-08002B2CF9AE}" pid="10" name="тип">
    <vt:lpwstr>аналитический бенчмарк</vt:lpwstr>
  </property>
</Properties>
</file>