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bb5ba4cfdfe1ed19793ed34d43554da5ce57dc"/>
    <w:p>
      <w:pPr>
        <w:pStyle w:val="Heading1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32"/>
        </w:rPr>
        <w:t xml:space="preserve">Межведомственная координация развития креативных индустрий</w:t>
      </w:r>
    </w:p>
    <w:bookmarkStart w:id="9" w:name="X272beaa8d5e7f029a2e0b82595b728259e9e36e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Аналитическая записка и концепт: международный опыт и модель координационного органа для Казахстана</w:t>
      </w:r>
    </w:p>
    <w:p>
      <w:pPr>
        <w:pStyle w:val="BlockText"/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t xml:space="preserve">Подготовлено Альянсом креативных индустрий Казахстана (CIAQ) для Курултая Республики Казахстан и Народного совета Казахстана.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Все количественные данные сверены с первичными источниками; перечень источников — в Приложении 2.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9"/>
    <w:bookmarkStart w:id="10" w:name="сводное-резюме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1. Сводное резюме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Креативные индустрии — это горизонтальный сектор экономики. Он не помещается в мандат одного ведомства: одновременно затрагивает культуру, цифровое развитие, образование, торговлю, туризм, налоговую и градостроительную политику, защиту интеллектуальной собственности и развитие предпринимательства. Сегодня в Казахстане за этот сектор формально отвечает Министерство культуры и информации, но ключевые рычаги — налоговые режимы, классификатор видов деятельности, защита прав, экспортная инфраструктура, образовательные стандарты — находятся в ведении других государственных органов. В результате решения принимаются разрозненно, а ответственность за конечный результат не закреплена ни за кем.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Международный опыт показывает единое решение: страны, добившиеся роста креативной экономики, создавали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постоянный межведомственный координационный орган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 политическим весом выше уровня отдельного министерства. Колумбия объединила в одном совете семь министерств и пять ведомств; Узбекистан в 2024 году учредил Республиканский совет, состав которого утверждает Президент; Индонезия через специальное агентство довела долю креативной экономики до 7,3% валового внутреннего продукта и 27,4 млн рабочих мест (2025). Филиппины закрепили совет законом с местами бизнеса по каждому креативному домену.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Предложение CIAQ: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учредить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Межведомственный координационный совет по развитию креативных индустрий при Правительстве Республики Казахстан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под председательством Заместителя Премьер-Министра, с участием профильных министерств, Национальной палаты предпринимателей «Атамекен», Международного финансового центра «Астана» и отраслевых объединений. Орган закрепляется постановлением Правительства, имеет рабочий секретариат, ежеквартальный цикл заседаний и измеримые показатели результата.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0"/>
    <w:bookmarkStart w:id="11" w:name="Xee1857beaed4ca21d216344231ecb37bfaf2bb6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2. Проблема: почему одно ведомство не справится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Креативные индустрии устроены иначе, чем традиционные отрасли. Производство фильма, видеоигры, музыкального продукта или дизайнерского бренда последовательно проходит через зоны ответственности сразу нескольких государственных органов. Ниже — карта этой раздробленности на примере Казахстана.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3119"/>
        <w:gridCol w:w="3118"/>
        <w:gridCol w:w="3118"/>
      </w:tblGrid>
      <w:tr>
        <w:trPr>
          <w:tblHeader w:val="on"/>
        </w:trP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Рычаг развития креативных индустрий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Кто им владеет сегодня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Что без него не работает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Отраслевая политика, реестр субъектов КИ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информации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Стратегическое руководство сектором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Классификатор видов деятельности (ОКЭД), налоговые режимы, поддержка малого и среднего бизнеса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национальной экономики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Само определение того, кто относится к сектору и на какую поддержку имеет право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Налоговое администрирование, специальные режимы, вычеты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финансов / Комитет государственных доходов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Экономическая жизнеспособность креативного бизнеса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Цифровые платформы, искусственный интеллект, защита прав в цифровой среде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искусственного интеллекта и цифрового развития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Современная инфраструктура и дистрибуция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Профессиональные стандарты, подготовка кадров в вузах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науки и высшего образования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Кадры для отрасли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Школьное образование, медиаграмотность, ранняя профориентация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просвещения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Приток новых специалистов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Экспорт, выход на внешние рынки, копродукция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торговли и интеграции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Превращение продукта в экспортный доход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Туризм, событийная индустрия, фестивали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туризма и спорта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Значительная часть креативной экономики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Защита интеллектуальной собственности, авторское право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юстиции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Доходы авторов и инвестиционная привлекательность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Венчурное финансирование, залог интеллектуальной собственности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Международный финансовый центр «Астана»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Доступ к капиталу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Градостроительство, креативные пространства и кластеры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промышленности и строительства, местные исполнительные органы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Физическая инфраструктура отрасли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Представительство интересов бизнеса, развитие предпринимательства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палата предпринимателей «Атамекен», Министерство национальной экономики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Обратная связь от отрасли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Следствие раздробленности.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Закон о креативных индустриях принят (Закон Республики Казахстан от 18 февраля 2026 года № 266-VIII), создан реестр субъектов креативных индустрий — но ни одна налоговая льгота не привязана к статусу субъекта. Причина системная: ведомство, отвечающее за реестр, не управляет налоговой политикой, а ведомство, управляющее налогами, не отвечает за развитие сектора. Каждый государственный орган действует в пределах своего мандата и не обязан синхронизировать решения с остальными. Без органа, который сводит эти мандаты воедино и несёт ответственность за итог, даже сильная стратегия не превращается в результат.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Это не уникальная казахстанская проблема — с ней сталкивались все страны при становлении креативной экономики. И все успешные ответы на неё имеют общую черту.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1"/>
    <w:bookmarkStart w:id="20" w:name="Xcab58138f8bead8e63fb721751cec17be024507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3. Международный опыт: как координируют развитие креативных индустрий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Ниже — сравнительный обзор стран, создавших специальные механизмы межведомственной координации. Для каждой указаны тип органа, его состав и измеримый результат.</w:t>
      </w:r>
    </w:p>
    <w:bookmarkStart w:id="12" w:name="X9dcf8da89dfa823e2ec1c47056c71b72a74370c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3.1. Колумбия — Национальный совет оранжевой экономики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Орган: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Национальный совет оранжевой экономики (Consejo Nacional de la Economía Naranja).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Основание: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Закон 1834 от 2017 года («Ley Naranja»).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Министр культуры.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Состав: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определён статьёй 14 Закона 1834/2017 (по формулировке ЮНЕСКО — семь министерств и пять ведомств, двенадцать органов).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Важно: совет чисто государственный — представителей бизнеса и отраслевых ассоциаций в законе нет.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Секретариат ведёт орган стратегического планирования (Национальный департамент планирования, DNP).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Функции: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межведомственная координация политики, разграничение компетенций, выработка инструментов поддержки; закон обязал национальную статистическую службу публиковать регулярный отчёт по сектору («Reporte Naranja»).</w:t>
      </w:r>
    </w:p>
    <w:p>
      <w:pPr>
        <w:pStyle w:val="Compact"/>
        <w:numPr>
          <w:ilvl w:val="0"/>
          <w:numId w:val="100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наиболее наглядная модель формального совета министерств. Сам факт, что для развития креативной экономики потребовалось свести за один стол двенадцать ведомств, — прямое подтверждение тезиса данной записки.</w:t>
      </w:r>
    </w:p>
    <w:bookmarkEnd w:id="12"/>
    <w:bookmarkStart w:id="13" w:name="X1ad4cab9655811e4088d3b03869c834de8d1f12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3.2. Узбекистан — Республиканский совет по развитию креативной экономики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Орган: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Республиканский совет по развитию креативной экономики (консультативно-совещательный межведомственный орган).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Основание: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Закон «О креативной экономике» № ЗРУ-970 от 3 октября 2024 года.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 и состав: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состав Совета утверждается Президентом Республики Узбекистан; общая координация системы возложена на Кабинет Министров; рабочим органом (секретариатом) выступает Фонд развития культуры и искусства.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Функции: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координация, мониторинг и оценка развития креативных индустрий, включая управление парком креативной индустрии.</w:t>
      </w:r>
    </w:p>
    <w:p>
      <w:pPr>
        <w:pStyle w:val="Compact"/>
        <w:numPr>
          <w:ilvl w:val="0"/>
          <w:numId w:val="1002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ближайший аналог в регионе и в правовой традиции. Узбекистан закрепил координационный орган на уровне закона и президентского утверждения состава — то есть придал ему политический вес выше отдельного министерства.</w:t>
      </w:r>
    </w:p>
    <w:bookmarkEnd w:id="13"/>
    <w:bookmarkStart w:id="14" w:name="Xdf5b07647047454b294d4779a15fd0b1999bc91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3.3. Индонезия — специализированное агентство креативной экономики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Орган: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Агентство креативной экономики (Badan Ekonomi Kreatif, BEKRAF), подотчётное напрямую Президенту; с 2024 года — отдельное Министерство креативной экономики.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Основание: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создано в 2015 году; в 2019 году объединено с туризмом, в 2024 году вновь выделено в самостоятельное министерство.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Мандат: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сквозная координация ведомств — туризма, образования и культуры, торговли, промышленности, цифрового развития, финансов, защиты интеллектуальной собственности.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Результат: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доля креативной экономики — около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7,3% валового внутреннего продукта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(2024); занятость выросла с 15,9 млн (2017) до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27,4 млн рабочих мест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(2025, ~18,7% всех занятых).</w:t>
      </w:r>
    </w:p>
    <w:p>
      <w:pPr>
        <w:pStyle w:val="Compact"/>
        <w:numPr>
          <w:ilvl w:val="0"/>
          <w:numId w:val="1003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показывает экономический масштаб отдачи, когда координация выстроена системно и наделена ресурсами.</w:t>
      </w:r>
    </w:p>
    <w:bookmarkEnd w:id="14"/>
    <w:bookmarkStart w:id="15" w:name="X308ace98656b60e4d78f28c4e8a218e7e3f6d5d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3.4. Великобритания — Совет креативных индустрий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Орган: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Совет креативных индустрий (Creative Industries Council).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Основание: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2011 год.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Председательство: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совместное — два государственных сопредседателя (Министр культуры, СМИ и спорта и Министр бизнеса и торговли) и два сопредседателя от индустрии.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Состав: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два профильных министерства плюс свыше двадцати членов от отрасли (национальный институт кино, советы по искусству, отраслевые ассоциации).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Функции: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совместная площадка государства и индустрии по вопросам финансирования, кадров, экспорта, инноваций, интеллектуальной собственности и регулирования.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Результат: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 Секторальном плане 2025 года поставлена цель роста инвестиций бизнеса в сектор с 17 до 31 млрд фунтов стерлингов к 2035 году.</w:t>
      </w:r>
    </w:p>
    <w:p>
      <w:pPr>
        <w:pStyle w:val="Compact"/>
        <w:numPr>
          <w:ilvl w:val="0"/>
          <w:numId w:val="1004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модель государственно-отраслевого партнёрства, где бизнес — полноправный участник координации, а не только адресат политики.</w:t>
      </w:r>
    </w:p>
    <w:bookmarkEnd w:id="15"/>
    <w:bookmarkStart w:id="16" w:name="X5aec949d7a744627ef0577ef012ebf3f46d427b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3.5. Россия — координация на базе уполномоченного органа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Правовая основа: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Федеральный закон от 8 августа 2024 года № 330-ФЗ «О развитии креативных (творческих) индустрий», вступивший в силу 5 февраля 2025 года; Концепция развития креативных индустрий до 2030 года.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Координатор: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уполномоченный федеральный орган — Министерство экономического развития (ведёт единый реестр субъектов). Дополнительно при Правительстве создаётся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Координационный совет по развитию креативных индустрий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то есть сосед по ЕАЭС движется ровно к модели межведомственного совета.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Цели и текущий уровень: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текущий вклад — около 4% валового внутреннего продукта (2024, оценки 3,9–4,9% по разным источникам); цель — 6% к 2030 году, занятость — с 6,3% до 15%.</w:t>
      </w:r>
    </w:p>
    <w:p>
      <w:pPr>
        <w:pStyle w:val="Compact"/>
        <w:numPr>
          <w:ilvl w:val="0"/>
          <w:numId w:val="1005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сосед по Евразийскому экономическому союзу закрепил уполномоченный орган и единый реестр законом — полезное сравнение темпа и инструментов.</w:t>
      </w:r>
    </w:p>
    <w:bookmarkEnd w:id="16"/>
    <w:bookmarkStart w:id="17" w:name="X6a68b2eff997cb40f049fc4e5688afdbca2d2e9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3.6. Таиланд и Объединённые Арабские Эмираты — агентство и отраслевая стратегия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Таиланд: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Агентство креативной экономики (Creative Economy Agency, CEA), создано 14 августа 2018 года при Аппарате Премьер-Министра; координирует развитие пятнадцати креативных индустрий через сеть партнёрств и меморандумов с профильными ведомствами.</w:t>
      </w:r>
    </w:p>
    <w:p>
      <w:pPr>
        <w:pStyle w:val="Compact"/>
        <w:numPr>
          <w:ilvl w:val="0"/>
          <w:numId w:val="1006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Объединённые Арабские Эмираты: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Национальная стратегия культурных и творческих индустрий (в рамках программы «We the UAE 2031»), курируется Министерством культуры и молодёжи; цель — рост вклада креативной экономики с 2,6% (2020) до 5% валового внутреннего продукта к 2031 году.</w:t>
      </w:r>
    </w:p>
    <w:bookmarkEnd w:id="17"/>
    <w:bookmarkStart w:id="18" w:name="X3a6fda3a0c173529d3e3104ca6d608d257bc005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3.7. Филиппины — совет с закреплёнными местами бизнеса</w:t>
      </w:r>
    </w:p>
    <w:p>
      <w:pPr>
        <w:pStyle w:val="Compact"/>
        <w:numPr>
          <w:ilvl w:val="0"/>
          <w:numId w:val="1007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Орган: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Совет по развитию креативных индустрий (Philippine Creative Industries Development Council, PCIDC) при Министерстве торговли и промышленности.</w:t>
      </w:r>
    </w:p>
    <w:p>
      <w:pPr>
        <w:pStyle w:val="Compact"/>
        <w:numPr>
          <w:ilvl w:val="0"/>
          <w:numId w:val="1007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Основание: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Закон Республики № 11904 «Philippine Creative Industries Development Act» (2022).</w:t>
      </w:r>
    </w:p>
    <w:p>
      <w:pPr>
        <w:pStyle w:val="Compact"/>
        <w:numPr>
          <w:ilvl w:val="0"/>
          <w:numId w:val="1007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Состав: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десять государственных органов по должности (торговля, образование, наука, ИКТ, туризм, труд, бюджет, высшее образование, культура, интеллектуальная собственность)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плюс девять представителей бизнеса — по одному на каждый креативный домен</w:t>
      </w:r>
      <w:r>
        <w:rPr>
          <w:rFonts w:ascii="Times New Roman" w:hAnsi="Times New Roman"/>
          <w:color w:val="000000"/>
          <w:sz w:val="24"/>
        </w:rPr>
        <w:t xml:space="preserve">; один из них — со-председатель.</w:t>
      </w:r>
    </w:p>
    <w:p>
      <w:pPr>
        <w:pStyle w:val="Compact"/>
        <w:numPr>
          <w:ilvl w:val="0"/>
          <w:numId w:val="1007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Результат: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доля креативной экономики — 7,1% валового внутреннего продукта, занятость 7,26 млн человек (2023, по официальному спутниковому счёту статистического агентства).</w:t>
      </w:r>
    </w:p>
    <w:p>
      <w:pPr>
        <w:pStyle w:val="Compact"/>
        <w:numPr>
          <w:ilvl w:val="0"/>
          <w:numId w:val="1007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Значение для нас: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наиболее полный образец для проектирования казахстанского органа — состав по должности (не зависит от кадровых перестановок), закреплённые места бизнеса по доменам, обязательный национальный план с показателями, официальный спутниковый счёт как доказательная база. Именно эта модель, а не колумбийская, показывает, как институционально включить бизнес в совет.</w:t>
      </w:r>
    </w:p>
    <w:bookmarkEnd w:id="18"/>
    <w:bookmarkStart w:id="19" w:name="обобщение-три-модели-координации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3.8. Обобщение: три модели координации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2341"/>
        <w:gridCol w:w="2338"/>
        <w:gridCol w:w="2338"/>
        <w:gridCol w:w="2338"/>
      </w:tblGrid>
      <w:tr>
        <w:trPr>
          <w:tblHeader w:val="on"/>
        </w:trP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Модель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Примеры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Кто возглавляет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Сила для нашей задачи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Совет министерств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(формальный межведомственный орган)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Филиппины (совет + места бизнеса по доменам), Колумбия (12 госорганов, без бизнеса), Узбекистан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Профильный министр / уровень выше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Наивысшая — прямо решает раздробленность; Филиппины показывают, как включить бизнес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Государственно-отраслевой форум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Великобритания, Таиланд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Совместно с индустрией / при Аппарате Премьер-Министра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Высокая — встраивает бизнес в выработку решений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Специализированное агентство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Индонезия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Подотчётно Президенту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Высокая отдача, но требует отдельного ведомства и бюджета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Вывод из международного опыта.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Везде, где креативная экономика выросла в значимый сектор, государство создавало постоянный механизм межведомственной координации с политическим весом выше отдельного министерства. Различается лишь форма — совет, форум или агентство. Казахстан уже имеет уполномоченный орган и закон, но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не имеет постоянного межведомственного органа</w:t>
      </w:r>
      <w:r>
        <w:rPr>
          <w:rFonts w:ascii="Times New Roman" w:hAnsi="Times New Roman"/>
          <w:color w:val="000000"/>
          <w:sz w:val="24"/>
        </w:rPr>
        <w:t xml:space="preserve">, который синхронизирует решения и отвечает за совокупный результат. Это и есть недостающее звено.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19"/>
    <w:bookmarkEnd w:id="20"/>
    <w:bookmarkStart w:id="25" w:name="модель-для-казахстана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4. Модель для Казахстана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CIAQ предлагает наименее затратную и наиболее быстрореализуемую из трёх моделей —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совет министерств</w:t>
      </w:r>
      <w:r>
        <w:rPr>
          <w:rFonts w:ascii="Times New Roman" w:hAnsi="Times New Roman"/>
          <w:color w:val="000000"/>
          <w:sz w:val="24"/>
        </w:rPr>
        <w:t xml:space="preserve">, не требующий создания нового ведомства или бюджета на содержание аппарата.</w:t>
      </w:r>
    </w:p>
    <w:bookmarkStart w:id="21" w:name="орган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4.1. Орган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Межведомственный координационный совет по развитию креативных индустрий при Правительстве Республики Казахстан.</w:t>
      </w:r>
    </w:p>
    <w:p>
      <w:pPr>
        <w:pStyle w:val="Compact"/>
        <w:numPr>
          <w:ilvl w:val="0"/>
          <w:numId w:val="1008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Статус: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консультативно-совещательный орган, закрепляется постановлением Правительства Республики Казахстан.</w:t>
      </w:r>
    </w:p>
    <w:p>
      <w:pPr>
        <w:pStyle w:val="Compact"/>
        <w:numPr>
          <w:ilvl w:val="0"/>
          <w:numId w:val="1008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Председатель: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Заместитель Премьер-Министра Республики Казахстан — для обеспечения политического веса над уровнем отдельного министерства и разрешения межведомственных разногласий.</w:t>
      </w:r>
    </w:p>
    <w:p>
      <w:pPr>
        <w:pStyle w:val="Compact"/>
        <w:numPr>
          <w:ilvl w:val="0"/>
          <w:numId w:val="1008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Уполномоченный орган и секретариат: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Министерство культуры и информации, с привлечением CIAQ как отраслевого экспертного партнёра.</w:t>
      </w:r>
    </w:p>
    <w:p>
      <w:pPr>
        <w:pStyle w:val="Compact"/>
        <w:numPr>
          <w:ilvl w:val="0"/>
          <w:numId w:val="1008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Периодичность: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не реже одного заседания в квартал; внеочередные — по решению председателя.</w:t>
      </w:r>
    </w:p>
    <w:bookmarkEnd w:id="21"/>
    <w:bookmarkStart w:id="22" w:name="состав-и-закреплённая-ответственность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4.2. Состав и закреплённая ответственность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Совет работает в трёх палатах: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министерства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определяют политику,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институты развития и операторы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её исполняют,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отрасль и регионы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дают экспертизу и реализацию на местах. Это принципиально: министерство задаёт правило, но рибейт, грант, экспортную субсидию или регистрацию права выдаёт конкретный оператор — без него решение остаётся на бумаге. Международный опыт это подтверждает: в совет Колумбии вошли не только министерства, но и банк развития (Findeter) и статистическое ведомство (DANE).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4.2.1. Палата министерств — определяют политику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4678"/>
        <w:gridCol w:w="4677"/>
      </w:tblGrid>
      <w:tr>
        <w:trPr>
          <w:tblHeader w:val="on"/>
        </w:trP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Участник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 что отвечает в совете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Заместитель Премьер-Министра (председатель)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Политическая координация, разрешение разногласий, утверждение показателей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информации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Уполномоченный орган, секретариат, отраслевая политика, реестр субъектов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национальной экономики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Классификатор видов деятельности (ОКЭД), налоговые режимы, поддержка предпринимательства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финансов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Налоговое администрирование, специальные режимы, вычеты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искусственного интеллекта и цифрового развития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Цифровые платформы, искусственный интеллект, защита прав в цифровой среде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науки и высшего образования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Профессиональные стандарты, подготовка кадров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просвещения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Ранняя профориентация, медиаграмотность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торговли и интеграции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Экспорт креативной продукции, копродукция, внешние рынки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туризма и спорта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Событийная индустрия, фестивальная и туристическая составляющая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юстиции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Интеллектуальная собственность, авторское право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промышленности и строительства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Градостроительная политика, креативные пространства и кластеры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4.2.2. Палата институтов развития и операторов — исполняют решения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Каждый институт включается рядом со своим профильным министерством — оператор без политики и политика без оператора одинаково нерабочи.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3119"/>
        <w:gridCol w:w="3118"/>
        <w:gridCol w:w="3118"/>
      </w:tblGrid>
      <w:tr>
        <w:trPr>
          <w:tblHeader w:val="on"/>
        </w:trP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Институт (оператор)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 каком органе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Какой рычаг держит для КИ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Международный технопарк IT-стартапов «Astana Hub»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искусственного интеллекта и цифрового развития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Геймдев и цифровой контент, акселерация, налоговый режим резидентов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АО «Национальное агентство по развитию инноваций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“QazInnovations”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искусственного интеллекта и цифрового развития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Инновационные гранты, коммерциализация, бизнес-инкубация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АО «Центр развития торговой политики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“QazTrade”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торговли и интеграции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Экспорт креативных услуг, возмещение затрат экспортёрам, электронная торговля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НАО «Государственный центр поддержки национального кино»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информации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Оператор системы кино-рибейта и субсидий, статус национальных фильмов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Фонд «Qazaq Creative» (qazaqcreative.com)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информации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Грантовая и образовательная поддержка субъектов КИ, реестр креаторов, меры поддержки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РГП «Национальный институт интеллектуальной собственности» (Kazpatent)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юстиции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Регистрация товарных знаков, промышленных образцов, патентов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АО «Национальная компания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“Kazakh Tourism”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туризма и спорта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Событийный и деловой туризм (MICE), страновой бренд, продвижение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АО «Фонд развития предпринимательства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“Даму”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Холдинг «Байтерек»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Льготное финансирование креативного малого и среднего бизнеса (субсидии, гарантии)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Международный финансовый центр «Астана» (венчурный контур)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Автономная юрисдикция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Венчурное финансирование, залог интеллектуальной собственности</w:t>
            </w:r>
          </w:p>
        </w:tc>
      </w:tr>
      <w:tr>
        <w:tc>
          <w:tcPr>
            <w:tcW w:w="311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Бюро национальной статистики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по стратегическому планированию и реформам</w:t>
            </w:r>
          </w:p>
        </w:tc>
        <w:tc>
          <w:tcPr>
            <w:tcW w:w="311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Измерение сектора, статистика реестра, регулярный отчёт по КИ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4.2.3. Палата отрасли и регионов — экспертиза и реализация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4678"/>
        <w:gridCol w:w="4677"/>
      </w:tblGrid>
      <w:tr>
        <w:trPr>
          <w:tblHeader w:val="on"/>
        </w:trP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Участник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 что отвечает в совете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палата предпринимателей «Атамекен»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Представительство интересов бизнеса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CIAQ и отраслевые объединения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Экспертиза, обратная связь от отрасли, мониторинг</w:t>
            </w:r>
          </w:p>
        </w:tc>
      </w:tr>
      <w:tr>
        <w:tc>
          <w:tcPr>
            <w:tcW w:w="4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Местные исполнительные органы (акиматы)</w:t>
            </w:r>
          </w:p>
        </w:tc>
        <w:tc>
          <w:tcPr>
            <w:tcW w:w="467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Реализация на местах, региональные кластеры</w:t>
            </w:r>
          </w:p>
        </w:tc>
      </w:tr>
    </w:tbl>
    <w:bookmarkEnd w:id="22"/>
    <w:bookmarkStart w:id="23" w:name="функции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4.3. Функции</w:t>
      </w:r>
    </w:p>
    <w:p>
      <w:pPr>
        <w:pStyle w:val="Compact"/>
        <w:numPr>
          <w:ilvl w:val="0"/>
          <w:numId w:val="1009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Синхронизация решений министерств по вопросам, затрагивающим креативные индустрии (налоги, классификатор, образование, экспорт, интеллектуальная собственность).</w:t>
      </w:r>
    </w:p>
    <w:p>
      <w:pPr>
        <w:pStyle w:val="Compact"/>
        <w:numPr>
          <w:ilvl w:val="0"/>
          <w:numId w:val="1009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Привязка мер поддержки к статусу субъекта креативных индустрий из реестра.</w:t>
      </w:r>
    </w:p>
    <w:p>
      <w:pPr>
        <w:pStyle w:val="Compact"/>
        <w:numPr>
          <w:ilvl w:val="0"/>
          <w:numId w:val="1009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Утверждение и ежеквартальный мониторинг показателей развития сектора.</w:t>
      </w:r>
    </w:p>
    <w:p>
      <w:pPr>
        <w:pStyle w:val="Compact"/>
        <w:numPr>
          <w:ilvl w:val="0"/>
          <w:numId w:val="1009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Рассмотрение отраслевых инициатив и обращений, поступающих через CIAQ и «Атамекен».</w:t>
      </w:r>
    </w:p>
    <w:p>
      <w:pPr>
        <w:pStyle w:val="Compact"/>
        <w:numPr>
          <w:ilvl w:val="0"/>
          <w:numId w:val="1009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Подготовка консолидированных предложений по законодательству для Правительства, Курултая и Народного совета Республики Казахстан.</w:t>
      </w:r>
    </w:p>
    <w:bookmarkEnd w:id="23"/>
    <w:bookmarkStart w:id="24" w:name="показатели-результата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4.4. Показатели результата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Совет работает по измеримым ориентирам (значения — из действующей Концепции развития креативных индустрий до 2030 года, подлежат подтверждению при утверждении):</w:t>
      </w:r>
    </w:p>
    <w:p>
      <w:pPr>
        <w:pStyle w:val="Compact"/>
        <w:numPr>
          <w:ilvl w:val="0"/>
          <w:numId w:val="1010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доля креативных индустрий в валовом внутреннем продукте — рост с уровня около 1% к целевым 2,5–3% к 2030 году;</w:t>
      </w:r>
    </w:p>
    <w:p>
      <w:pPr>
        <w:pStyle w:val="Compact"/>
        <w:numPr>
          <w:ilvl w:val="0"/>
          <w:numId w:val="1010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занятость в секторе — рост со 143,6 тыс. человек к целевым 200 тыс. и более;</w:t>
      </w:r>
    </w:p>
    <w:p>
      <w:pPr>
        <w:pStyle w:val="Compact"/>
        <w:numPr>
          <w:ilvl w:val="0"/>
          <w:numId w:val="1010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расширение классификатора видов деятельности и привязка к нему мер поддержки;</w:t>
      </w:r>
    </w:p>
    <w:p>
      <w:pPr>
        <w:pStyle w:val="Compact"/>
        <w:numPr>
          <w:ilvl w:val="0"/>
          <w:numId w:val="1010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сокращение разрыва между принятым законодательством и реально действующими мерами.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4"/>
    <w:bookmarkEnd w:id="25"/>
    <w:bookmarkStart w:id="26" w:name="дорожная-карта-внедрения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5. Дорожная карта внедрения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534"/>
        <w:gridCol w:w="6015"/>
        <w:gridCol w:w="2806"/>
      </w:tblGrid>
      <w:tr>
        <w:trPr>
          <w:tblHeader w:val="on"/>
        </w:trP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Шаг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Действие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Срок (ориентировочно)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Внесение инициативы в Правительство; законодательный трек — через Курултай или Народный совет Республики Казахстан, при поддержке Министерства культуры и информации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III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Разработка проекта постановления Правительства о составе и положении Совета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III–IV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3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Утверждение состава, назначение секретариата, первое заседание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IV квартал 2026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4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Утверждение показателей и плана синхронизации мер поддержки с реестром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 квартал 2027</w:t>
            </w:r>
          </w:p>
        </w:tc>
      </w:tr>
      <w:tr>
        <w:tc>
          <w:tcPr>
            <w:tcW w:w="53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5</w:t>
            </w:r>
          </w:p>
        </w:tc>
        <w:tc>
          <w:tcPr>
            <w:tcW w:w="6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Первый публичный отчёт о результатах координации</w:t>
            </w:r>
          </w:p>
        </w:tc>
        <w:tc>
          <w:tcPr>
            <w:tcW w:w="280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II–III квартал 2027</w:t>
            </w:r>
          </w:p>
        </w:tc>
      </w:tr>
    </w:tbl>
    <w:p>
      <w:pPr>
        <w:pStyle w:val="BlockText"/>
        <w:spacing w:before="60" w:after="12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Правовой контекст (по состоянию на 01.07.2026).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 вступлением в силу новой Конституции Республики Казахстан парламент стал однопалатным —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Курултай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(145 депутатов). Право законодательной инициативы закреплено за четырьмя субъектами: Президентом, депутатами Курултая, Правительством 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Народным советом Казахстана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(Қазақстан Халық Кеңесі). Предлагаемый координационный совет создаётся при Правительстве (исполнительная ветвь), а отраслевые законодательные предложения вносятся по треку «Правительство → Курултай» либо через Народный совет.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6"/>
    <w:bookmarkStart w:id="27" w:name="заключение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6. Заключение</w: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Закон принят, реестр создан, стратегия утверждена. Недостающее звено — постоянный орган, который сводит решения двенадцати ведомств в единую политику и отвечает за результат. Весь успешный международный опыт указывает на одно и то же решение, и Казахстан способен внедрить его наименее затратным способом — через межведомственный совет при Правительстве, не создавая нового ведомства. Это превращает уже принятые законы из рамки в работающий механизм.</w:t>
      </w:r>
    </w:p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color w:val="000000"/>
          <w:sz w:val="24"/>
        </w:rPr>
        <w:t xml:space="preserve">CIAQ готов выступить отраслевым партнёром Совета: предоставить экспертизу, аналитику и постоянную обратную связь от двадцати девяти креативных индустрий.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7"/>
    <w:bookmarkStart w:id="28" w:name="X18efc783c248699c74f36fd7802bd9e0ce79531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Приложение 1. Сводная таблица международных моделей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678"/>
        <w:gridCol w:w="2015"/>
        <w:gridCol w:w="520"/>
        <w:gridCol w:w="520"/>
        <w:gridCol w:w="1551"/>
        <w:gridCol w:w="1890"/>
        <w:gridCol w:w="2181"/>
      </w:tblGrid>
      <w:tr>
        <w:trPr>
          <w:tblHeader w:val="on"/>
        </w:trP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Тип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Председатель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Охват ведомств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Результат / цель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Филиппины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по развитию КИ (PCIDC)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2022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министерств + бизнес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Министр торговли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10 госорганов + 9 от бизнеса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7,1% ВВП, 7,26 млн занятых; спутниковый счёт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Колумбия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Национальный совет оранжевой экономики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2017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министерств (только госорганы)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Министр культуры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7 министерств + 5 ведомств, без бизнеса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Межведомственная политика, обязательная статистика сектора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Узбекистан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Республиканский совет по развитию креативной экономики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министерств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Состав утверждает Президент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Профильные госорганы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Координация, мониторинг, парк креативной индустрии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Индонезия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креативной экономики → Министерство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2015/2024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Подотчётно Президенту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Сквозная координация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7,3% ВВП, 27,4 млн рабочих мест (2025)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Великобритания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креативных индустрий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2011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Государственно-отраслевой форум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 министра + 2 от индустрии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 министерства + отрасль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Цель: инвестиции бизнеса 17 → 31 млрд фунтов к 2035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Россия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Уполномоченный орган (330-ФЗ) + Координационный совет при Правительстве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2024–2025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Ведомство + совет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Минэкономразвития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Единый реестр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~4% ВВП (2024); цель 6% к 2030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Таиланд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креативной экономики (CEA)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 Аппарате Премьер-Министра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Сеть партнёрств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Развитие 15 креативных индустрий</w:t>
            </w:r>
          </w:p>
        </w:tc>
      </w:tr>
      <w:tr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ОАЭ</w:t>
            </w:r>
          </w:p>
        </w:tc>
        <w:tc>
          <w:tcPr>
            <w:tcW w:w="201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стратегия культурных и творческих индустрий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Отраслевая стратегия</w:t>
            </w:r>
          </w:p>
        </w:tc>
        <w:tc>
          <w:tcPr>
            <w:tcW w:w="155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молодёжи</w:t>
            </w:r>
          </w:p>
        </w:tc>
        <w:tc>
          <w:tcPr>
            <w:tcW w:w="189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Профильное министерство</w:t>
            </w:r>
          </w:p>
        </w:tc>
        <w:tc>
          <w:tcPr>
            <w:tcW w:w="21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Цель: 5% ВВП к 2031</w:t>
            </w:r>
          </w:p>
        </w:tc>
      </w:tr>
    </w:tbl>
    <w:bookmarkEnd w:id="28"/>
    <w:bookmarkStart w:id="29" w:name="X072de9360731d405f1fb80839e5b21e7764671d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Приложение 2. Верифицированные данные и источники</w:t>
      </w:r>
    </w:p>
    <w:p>
      <w:pPr>
        <w:pStyle w:val="BlockText"/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t xml:space="preserve">Все цифры сверены с первичными источниками в июне 2026 года. Где данные разных официальных источников расходятся, приведены оба значения с указанием ведомства.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2341"/>
        <w:gridCol w:w="2338"/>
        <w:gridCol w:w="2338"/>
        <w:gridCol w:w="2338"/>
      </w:tblGrid>
      <w:tr>
        <w:trPr>
          <w:tblHeader w:val="on"/>
        </w:trP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Показатель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Значение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Статус сверки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Источник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Доля креативных индустрий в мировом валовом внутреннем продукте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около 3,1% (и 6,2% всех рабочих мест в мире)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Уточнено (ранее ошибочно указывалось 3,39%)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ЮНКТАД (Конференция ООН по торговле и развитию)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Экспорт креативных услуг в мире (2022)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1,4 трлн долларов США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ЮНКТАД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Доля креативных индустрий в ВВП Казахстана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около 1% (валовая добавленная стоимость 2023 — 1,2 трлн тенге)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Бюро национальной статистики; обзор МФЦА, 2025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Зарегистрированные субъекты креативных индустрий,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более 45,5 тыс. (Премьер-Министр, данные МКИ) / 41,8 тыс. (данные Бюро национальной статистики, 2024)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Уточнено (расхождение источников; приводить с указанием ведомства)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МКИ; Бюро национальной статистики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Занятость в креативных индустриях,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143,6 тыс. человек (МКИ) / 141,5 тыс. (Бюро национальной статистики, середина 2024)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Уточнено (ранее ошибочно указывалось 133 тыс.)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МКИ; Бюро национальной статистики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о креативных индустриях,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от 18 февраля 2026 года № 266-VIII; меры реализации — распоряжение Премьер-Министра от 30 марта 2026 года № 36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adilet.zan.kz / prg.kz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Перечень видов деятельности (ОКЭД) для креативных индустрий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утверждён приказом Министерства культуры и информации № 572-НҚ от 20 октября 2025 года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Подтверждён факт утверждения; точное число кодов подлежит сверке напрямую по тексту приказа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adilet.zan.kz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Министерство, курирующее искусственный интеллект и цифровое развитие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искусственного интеллекта и цифрового развития Республики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gov.kz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Министерство, курирующее туризм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туризма и спорта Республики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gov.kz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Уполномоченный орган по креативным индустриям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информации Республики Казахстан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gov.kz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Колумбия: состав совета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Определён ст. 14 Ley 1834/2017 (по ЮНЕСКО — 7 министерств + 5 ведомств). Только госорганы; бизнеса/ассоциаций в составе НЕТ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Уточнено (прямое чтение ст. 14)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Ley 1834, ст. 14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Узбекистан: закон о креативной экономике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№ ЗРУ-970 от 3 октября 2024 года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lex.uz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Индонезия: доля и занятость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7,3% ВВП (2024); занятость 15,9 млн (2017) → 27,4 млн (2025)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Уточнено по свежему справочнику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ВОИС/ЮНЕСКО (2017); BritCham/Tempo (2025)</w:t>
            </w:r>
          </w:p>
        </w:tc>
      </w:tr>
      <w:tr>
        <w:tc>
          <w:tcPr>
            <w:tcW w:w="234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Россия: закон и цель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330-ФЗ от 8 августа 2024 года, в силе с 5 февраля 2025; цель 6% ВВП к 2030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Подтверждено</w:t>
            </w:r>
          </w:p>
        </w:tc>
        <w:tc>
          <w:tcPr>
            <w:tcW w:w="23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publication.pravo.gov.ru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Открытые позиции для финальной сверки перед внесением: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Точное число кодов ОКЭД, закреплённых за креативными индустриями, — взять напрямую из текста приказа МКИ № 572-НҚ от 20.10.2025.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Налоговые ставки специальных режимов в Кыргызстане и Узбекистане — при включении в текст сверить с действующими редакциями налоговых кодексов (отдельный материал CIAQ по налоговой реформе).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color w:val="000000"/>
          <w:sz w:val="24"/>
        </w:rPr>
        <w:t xml:space="preserve">Значения целевых показателей (доля в ВВП, занятость) — согласовать с финальной редакцией Концепции развития креативных индустрий до 2030 года.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Фонд развития креативных индустрий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публично действует как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 xml:space="preserve">Фонд «Qazaq Creative»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(qazaqcreative.com): грантовая и образовательная поддержка, реестр креаторов, меры поддержки (г. Астана). Перед внесением уточнить точную юридическую форму, год учреждения и учредителя/подведомственность.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Государственный центр поддержки национального кино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подтвердить актуальный статус и подведомственность МКИ (в открытых источниках встречалась информация о возможной реорганизации).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Подведомственность операторов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актуализировать родительские органы на дату внесения (после реорганизаций 2025 года): «Astana Hub» и «QazInnovations» — Министерство искусственного интеллекта и цифрового развития; «Kazakh Tourism» — Министерство туризма и спорта; «Даму» — холдинг «Байтерек».</w:t>
      </w:r>
    </w:p>
    <w:p>
      <w:pPr>
        <w:pStyle w:val="Compact"/>
        <w:numPr>
          <w:ilvl w:val="0"/>
          <w:numId w:val="1011"/>
        </w:numPr>
        <w:spacing w:before="40" w:after="40" w:line="360" w:lineRule="exact"/>
      </w:pPr>
      <w:r>
        <w:rPr>
          <w:rFonts w:ascii="Times New Roman" w:hAnsi="Times New Roman"/>
          <w:b/>
          <w:bCs/>
          <w:color w:val="000000"/>
          <w:sz w:val="24"/>
        </w:rPr>
        <w:t xml:space="preserve">Точные юридические наименования и годы создания институтов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— сверить по учредительным актам (adilet.zan.kz) и официальным сайтам перед внесением.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bookmarkEnd w:id="29"/>
    <w:bookmarkStart w:id="34" w:name="Xb131f36e476f29e4d9f44706910cead857acee4"/>
    <w:p>
      <w:pPr>
        <w:pStyle w:val="Heading2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8"/>
        </w:rPr>
        <w:t xml:space="preserve">Приложение 3. Расширенный бенчмарк: структуры координации в 26 странах</w:t>
      </w:r>
    </w:p>
    <w:p>
      <w:pPr>
        <w:pStyle w:val="BlockText"/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t xml:space="preserve">Полный сравнительный обзор — 26 стран на пяти континентах, сгруппированных по типу координации. Пометка достоверности проставлена по методологии исследования и указывает на класс источника, а не на качество модели.</w:t>
      </w:r>
    </w:p>
    <w:bookmarkStart w:id="30" w:name="Xbaf5cae75e13f0005f36393fe91aa3515b8454b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Межведомственные советы — Наиболее релевантная модель для Казахстана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829"/>
        <w:gridCol w:w="3398"/>
        <w:gridCol w:w="678"/>
        <w:gridCol w:w="1056"/>
        <w:gridCol w:w="3394"/>
      </w:tblGrid>
      <w:tr>
        <w:trPr>
          <w:tblHeader w:val="on"/>
        </w:trP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Описание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★ Филиппины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Industries Development Council (PCIDC)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2022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RA 11904. 10 ведомств по должности + 9 от бизнеса по доменам, обязательный нацплан с KPI.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Колумбия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Consejo Nacional de la Economía Naranja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2017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1834 («Ley Naranja»). 7 министерств + 5 ведомств; обязательный статотчёт по сектору.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Узбекистан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Республиканский совет по развитию креативной экономики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Закон ЗРУ-970. Состав утверждает Президент, координация — Кабинет Министров.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Россия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Координационный совет при Правительстве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2024–2025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ФЗ-330; уполномоченный орган — Минэкономразвития, единый реестр. Прецедент по ЕАЭС; цель 6% ВВП к 2030.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Литва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по креативным и культурным индустриям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Межведомственный координационный совет.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Латвия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Совет креативных индустрий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2014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Координационный совет: государство + бизнес + сектор.</w:t>
            </w:r>
          </w:p>
        </w:tc>
      </w:tr>
      <w:tr>
        <w:tc>
          <w:tcPr>
            <w:tcW w:w="829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Эквадор</w:t>
            </w:r>
          </w:p>
        </w:tc>
        <w:tc>
          <w:tcPr>
            <w:tcW w:w="339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Comité Interinstitucional de Economía Creativa</w:t>
            </w:r>
          </w:p>
        </w:tc>
        <w:tc>
          <w:tcPr>
            <w:tcW w:w="67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1056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Требует сверки</w:t>
            </w:r>
          </w:p>
        </w:tc>
        <w:tc>
          <w:tcPr>
            <w:tcW w:w="3394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Механизм по Закону об оранжевой экономике (первоисточник не подтверждён).</w:t>
            </w:r>
          </w:p>
        </w:tc>
      </w:tr>
    </w:tbl>
    <w:bookmarkEnd w:id="30"/>
    <w:bookmarkStart w:id="31" w:name="Xd2f3ea99f569cc7bdba48923921e983c91d142c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Государственно-отраслевые форумы и программы — Бизнес — соавтор решений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1247"/>
        <w:gridCol w:w="2583"/>
        <w:gridCol w:w="520"/>
        <w:gridCol w:w="1158"/>
        <w:gridCol w:w="3847"/>
      </w:tblGrid>
      <w:tr>
        <w:trPr>
          <w:tblHeader w:val="on"/>
        </w:trPr>
        <w:tc>
          <w:tcPr>
            <w:tcW w:w="1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258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115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  <w:tc>
          <w:tcPr>
            <w:tcW w:w="38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Описание</w:t>
            </w:r>
          </w:p>
        </w:tc>
      </w:tr>
      <w:tr>
        <w:tc>
          <w:tcPr>
            <w:tcW w:w="1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Великобритания</w:t>
            </w:r>
          </w:p>
        </w:tc>
        <w:tc>
          <w:tcPr>
            <w:tcW w:w="258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Industries Council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2011</w:t>
            </w:r>
          </w:p>
        </w:tc>
        <w:tc>
          <w:tcPr>
            <w:tcW w:w="115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8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 министра + 2 лидера индустрии. Цель Sector Plan: инвестиции бизнеса £17 → £31 млрд к 2035.</w:t>
            </w:r>
          </w:p>
        </w:tc>
      </w:tr>
      <w:tr>
        <w:tc>
          <w:tcPr>
            <w:tcW w:w="1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Таиланд</w:t>
            </w:r>
          </w:p>
        </w:tc>
        <w:tc>
          <w:tcPr>
            <w:tcW w:w="258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Economy Agency (CEA)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</w:t>
            </w:r>
          </w:p>
        </w:tc>
        <w:tc>
          <w:tcPr>
            <w:tcW w:w="115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8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при Аппарате Премьер-Министра, 15 креативных индустрий.</w:t>
            </w:r>
          </w:p>
        </w:tc>
      </w:tr>
      <w:tr>
        <w:tc>
          <w:tcPr>
            <w:tcW w:w="1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Ирландия</w:t>
            </w:r>
          </w:p>
        </w:tc>
        <w:tc>
          <w:tcPr>
            <w:tcW w:w="258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Ireland Programme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2017</w:t>
            </w:r>
          </w:p>
        </w:tc>
        <w:tc>
          <w:tcPr>
            <w:tcW w:w="115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8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межведомственная программа: несколько министерств + местные власти.</w:t>
            </w:r>
          </w:p>
        </w:tc>
      </w:tr>
      <w:tr>
        <w:tc>
          <w:tcPr>
            <w:tcW w:w="1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Нидерланды</w:t>
            </w:r>
          </w:p>
        </w:tc>
        <w:tc>
          <w:tcPr>
            <w:tcW w:w="258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Topsector Creatieve Industrie</w:t>
            </w:r>
          </w:p>
        </w:tc>
        <w:tc>
          <w:tcPr>
            <w:tcW w:w="52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2011</w:t>
            </w:r>
          </w:p>
        </w:tc>
        <w:tc>
          <w:tcPr>
            <w:tcW w:w="115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8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Государственно-частная координационная платформа (топ-сектор).</w:t>
            </w:r>
          </w:p>
        </w:tc>
      </w:tr>
    </w:tbl>
    <w:bookmarkEnd w:id="31"/>
    <w:bookmarkStart w:id="32" w:name="Xbd2f185b2942ee8c2c5aa261380176c712485cf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Специализированные агентства — Максимальная отдача, но нужен отдельный бюджет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850"/>
        <w:gridCol w:w="3247"/>
        <w:gridCol w:w="695"/>
        <w:gridCol w:w="1082"/>
        <w:gridCol w:w="3481"/>
      </w:tblGrid>
      <w:tr>
        <w:trPr>
          <w:tblHeader w:val="on"/>
        </w:trP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3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</w:t>
            </w:r>
          </w:p>
        </w:tc>
        <w:tc>
          <w:tcPr>
            <w:tcW w:w="69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108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  <w:tc>
          <w:tcPr>
            <w:tcW w:w="34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Описание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Индонезия</w:t>
            </w:r>
          </w:p>
        </w:tc>
        <w:tc>
          <w:tcPr>
            <w:tcW w:w="3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BEKRAF → Министерство креативной экономики</w:t>
            </w:r>
          </w:p>
        </w:tc>
        <w:tc>
          <w:tcPr>
            <w:tcW w:w="69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2015/2024</w:t>
            </w:r>
          </w:p>
        </w:tc>
        <w:tc>
          <w:tcPr>
            <w:tcW w:w="108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4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при Президенте. Результат: 7,3% ВВП; занятость 15,9 млн (2017) → 27,4 млн (2025).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Южная Корея</w:t>
            </w:r>
          </w:p>
        </w:tc>
        <w:tc>
          <w:tcPr>
            <w:tcW w:w="3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KOCCA (Korea Creative Content Agency)</w:t>
            </w:r>
          </w:p>
        </w:tc>
        <w:tc>
          <w:tcPr>
            <w:tcW w:w="69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2009</w:t>
            </w:r>
          </w:p>
        </w:tc>
        <w:tc>
          <w:tcPr>
            <w:tcW w:w="108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4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Центральное агентство контент-индустрий при Минкультуры; финансирование, экспорт, R&amp;D, кадры, зарубежные офисы.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Австралия</w:t>
            </w:r>
          </w:p>
        </w:tc>
        <w:tc>
          <w:tcPr>
            <w:tcW w:w="3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Australia</w:t>
            </w:r>
          </w:p>
        </w:tc>
        <w:tc>
          <w:tcPr>
            <w:tcW w:w="69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2023</w:t>
            </w:r>
          </w:p>
        </w:tc>
        <w:tc>
          <w:tcPr>
            <w:tcW w:w="108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4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Установленный законом орган (Creative Australia Act 2023) на базе Australia Council.</w:t>
            </w:r>
          </w:p>
        </w:tc>
      </w:tr>
      <w:tr>
        <w:tc>
          <w:tcPr>
            <w:tcW w:w="85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Грузия</w:t>
            </w:r>
          </w:p>
        </w:tc>
        <w:tc>
          <w:tcPr>
            <w:tcW w:w="32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Georgia</w:t>
            </w:r>
          </w:p>
        </w:tc>
        <w:tc>
          <w:tcPr>
            <w:tcW w:w="695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сер. 2010-х</w:t>
            </w:r>
          </w:p>
        </w:tc>
        <w:tc>
          <w:tcPr>
            <w:tcW w:w="1082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Требует сверки</w:t>
            </w:r>
          </w:p>
        </w:tc>
        <w:tc>
          <w:tcPr>
            <w:tcW w:w="3481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Национальное агентство КИ при Минкультуры (год/статус не подтверждены).</w:t>
            </w:r>
          </w:p>
        </w:tc>
      </w:tr>
    </w:tbl>
    <w:bookmarkEnd w:id="32"/>
    <w:bookmarkStart w:id="33" w:name="X08e0f4d5fbabd3a34a72c500213a2e1c77163ea"/>
    <w:p>
      <w:pPr>
        <w:pStyle w:val="Heading3"/>
        <w:spacing w:before="360" w:after="160" w:line="360" w:lineRule="exact"/>
        <w:jc w:val="left"/>
      </w:pPr>
      <w:r>
        <w:rPr>
          <w:rFonts w:ascii="Times New Roman" w:hAnsi="Times New Roman"/>
          <w:b/>
          <w:color w:val="000000"/>
          <w:sz w:val="26"/>
        </w:rPr>
        <w:t xml:space="preserve">Профильное министерство / уполномоченный орган / гибрид — Разброс подходов без постоянного совета</w:t>
      </w:r>
    </w:p>
    <w:tbl>
      <w:tblPr>
        <w:tblStyle w:val="Table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W w:w="9355" w:type="dxa"/>
      </w:tblPr>
      <w:tblGrid>
        <w:gridCol w:w="1223"/>
        <w:gridCol w:w="3240"/>
        <w:gridCol w:w="647"/>
        <w:gridCol w:w="1007"/>
        <w:gridCol w:w="3238"/>
      </w:tblGrid>
      <w:tr>
        <w:trPr>
          <w:tblHeader w:val="on"/>
        </w:trP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Страна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Год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Достоверность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Описание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ОАЭ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культуры и молодёжи + нацстратегия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2018/2021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Надёжно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Национальная стратегия КИ в рамках «We the UAE 2031». Цель — 5% ВВП к 2031.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Кыргызстан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Указ Президента + Парк креативных индустрий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2022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Дирекция + Наблюдательный совет; льготный налог 1% (→2% с 2027). Постоянного межвед-совета нет.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Саудовская Аравия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Минкультуры + 11 отраслевых комиссий + Cultural Development Fund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2018–2020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Координация подсекторов в рамках Vision 2030.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Малайзия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CENDANA + MyCreative Ventures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2016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Агентство развития культурной экономики + государственная инвесткомпания.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Сингапур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Creative Industries Strategy + DesignSingapore + IMDA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2002/2016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Рамочная стратегия + отраслевые советы + медиарегулятор.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ЮАР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Мин. спорта, искусства и культуры + NFVF/NAC + Mzansi Golden Economy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2019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фонды + межведомственные рабочие группы.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Нигерия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искусства, культуры, туризма и креативной экономики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2023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Профильное министерство; межведомственного совета нет.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Кения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Профильное министерство + Kenya Film Commission + Copyright Board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2005+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специализированные агентства.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Гана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Мин. туризма, искусства и культуры + Комиссия по культуре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2013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комиссия; отдельный совет КИ обсуждается.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Руанда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молодёжи и культуры + Rwanda Development Board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2009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Средне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Министерство + агентство развития.</w:t>
            </w:r>
          </w:p>
        </w:tc>
      </w:tr>
      <w:tr>
        <w:tc>
          <w:tcPr>
            <w:tcW w:w="1223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Бразилия</w:t>
            </w:r>
          </w:p>
        </w:tc>
        <w:tc>
          <w:tcPr>
            <w:tcW w:w="3240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Secretaria da Economia Criativa</w:t>
            </w:r>
          </w:p>
        </w:tc>
        <w:tc>
          <w:tcPr>
            <w:tcW w:w="64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2012</w:t>
            </w:r>
          </w:p>
        </w:tc>
        <w:tc>
          <w:tcPr>
            <w:tcW w:w="1007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Требует сверки</w:t>
            </w:r>
          </w:p>
        </w:tc>
        <w:tc>
          <w:tcPr>
            <w:tcW w:w="3238" w:type="dxa"/>
          </w:tcPr>
          <w:p>
            <w:pPr>
              <w:pStyle w:val="Compact"/>
              <w:spacing w:before="40" w:after="40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Секретариат в Минкультуры; сейчас — распределённая координация.</w:t>
            </w:r>
          </w:p>
        </w:tc>
      </w:tr>
    </w:tbl>
    <w:p>
      <w:pPr>
        <w:pStyle w:val="BodyText"/>
        <w:spacing w:before="60" w:after="120" w:line="360" w:lineRule="exact"/>
        <w:ind w:firstLine="567"/>
      </w:pPr>
      <w:r>
        <w:rPr>
          <w:rFonts w:ascii="Times New Roman" w:hAnsi="Times New Roman"/>
          <w:b/>
          <w:bCs/>
          <w:color w:val="000000"/>
          <w:sz w:val="24"/>
        </w:rPr>
        <w:t xml:space="preserve">Отрицательный результат.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Аргентина, Перу, Чили, Коста-Рика, Эстония, Польша, Дания — формальных национальных советов по креативной экономике не выявлено; координация идёт через профильные министерства. Отрицательный результат тоже важен: он показывает, что постоянный орган — осознанный выбор, а не универсальная норма.</w: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p>
      <w:pPr>
        <w:spacing w:before="60" w:after="120" w:line="360" w:lineRule="exact"/>
      </w:pPr>
      <w:r>
        <w:rPr>
          <w:rFonts w:ascii="Times New Roman" w:hAnsi="Times New Roman"/>
          <w:color w:val="000000"/>
          <w:sz w:val="24"/>
        </w:rPr>
        <w:pict>
          <v:rect style="width:0;height:1.5pt" o:hralign="center" o:hrstd="t" o:hr="t"/>
        </w:pict>
      </w:r>
    </w:p>
    <w:p>
      <w:pPr>
        <w:pStyle w:val="FirstParagraph"/>
        <w:spacing w:before="60" w:after="120" w:line="360" w:lineRule="exact"/>
        <w:ind w:firstLine="567"/>
      </w:pPr>
      <w:r>
        <w:rPr>
          <w:rFonts w:ascii="Times New Roman" w:hAnsi="Times New Roman"/>
          <w:i/>
          <w:iCs/>
          <w:color w:val="000000"/>
          <w:sz w:val="24"/>
        </w:rPr>
        <w:t xml:space="preserve">Документ подготовлен CIAQ. Контакт для уточнений: info@ciaq.kz · ciaq.kz</w:t>
      </w:r>
    </w:p>
    <w:bookmarkEnd w:id="33"/>
    <w:bookmarkEnd w:id="34"/>
    <w:bookmarkEnd w:id="35"/>
    <w:sectPr>
      <w:footnotePr>
        <w:numRestart w:val="eachSect"/>
      </w:footnotePr>
      <w:pgMar w:top="1134" w:bottom="1134" w:left="1701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25" w:hanging="215"/>
      </w:pPr>
    </w:lvl>
    <w:lvl w:ilvl="1">
      <w:numFmt w:val="bullet"/>
      <w:lvlText w:val=" "/>
      <w:lvlJc w:val="left"/>
      <w:pPr>
        <w:ind w:left="850" w:hanging="215"/>
      </w:pPr>
    </w:lvl>
    <w:lvl w:ilvl="2">
      <w:numFmt w:val="bullet"/>
      <w:lvlText w:val=" "/>
      <w:lvlJc w:val="left"/>
      <w:pPr>
        <w:ind w:left="1275" w:hanging="215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25" w:hanging="215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50" w:hanging="215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75" w:hanging="215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25" w:hanging="215"/>
      </w:pPr>
    </w:lvl>
    <w:lvl w:ilvl="1">
      <w:start w:val="1"/>
      <w:numFmt w:val="decimal"/>
      <w:lvlText w:val="%2."/>
      <w:lvlJc w:val="left"/>
      <w:pPr>
        <w:ind w:left="850" w:hanging="215"/>
      </w:pPr>
    </w:lvl>
    <w:lvl w:ilvl="2">
      <w:start w:val="1"/>
      <w:numFmt w:val="decimal"/>
      <w:lvlText w:val="%3."/>
      <w:lvlJc w:val="left"/>
      <w:pPr>
        <w:ind w:left="1275" w:hanging="21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2026-07-13T06:10:03Z</dcterms:created>
  <dcterms:modified xsi:type="dcterms:W3CDTF">2026-07-13T06:10:03Z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втор">
    <vt:lpwstr>CIAQ — Альянс креативных индустрий Казахстана</vt:lpwstr>
  </property>
  <property fmtid="{D5CDD505-2E9C-101B-9397-08002B2CF9AE}" pid="3" name="адресат">
    <vt:lpwstr>Курултай Республики Казахстан; Народный совет Казахстана</vt:lpwstr>
  </property>
  <property fmtid="{D5CDD505-2E9C-101B-9397-08002B2CF9AE}" pid="4" name="дата">
    <vt:lpwstr>2026-06-28</vt:lpwstr>
  </property>
  <property fmtid="{D5CDD505-2E9C-101B-9397-08002B2CF9AE}" pid="5" name="комитет">
    <vt:lpwstr>GR</vt:lpwstr>
  </property>
  <property fmtid="{D5CDD505-2E9C-101B-9397-08002B2CF9AE}" pid="6" name="обновлено">
    <vt:lpwstr>2026-07-13 (адресат приведён к новой конституционной структуре — Курултай/Народный совет, Мажилис упразднён 01.07.2026)</vt:lpwstr>
  </property>
  <property fmtid="{D5CDD505-2E9C-101B-9397-08002B2CF9AE}" pid="7" name="проект">
    <vt:lpwstr>CIAQ</vt:lpwstr>
  </property>
  <property fmtid="{D5CDD505-2E9C-101B-9397-08002B2CF9AE}" pid="8" name="статус">
    <vt:lpwstr>draft</vt:lpwstr>
  </property>
  <property fmtid="{D5CDD505-2E9C-101B-9397-08002B2CF9AE}" pid="9" name="строгость">
    <vt:lpwstr>strict (документ для государственного органа РК)</vt:lpwstr>
  </property>
  <property fmtid="{D5CDD505-2E9C-101B-9397-08002B2CF9AE}" pid="10" name="тема">
    <vt:lpwstr>Межведомственная координация развития креативных индустрий</vt:lpwstr>
  </property>
  <property fmtid="{D5CDD505-2E9C-101B-9397-08002B2CF9AE}" pid="11" name="тип">
    <vt:lpwstr>концепт-записка</vt:lpwstr>
  </property>
</Properties>
</file>