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Приложение к Аналитической записке CIAQ-004 — Детализация 3 предложений по методу 6W</w:t>
      </w:r>
    </w:p>
    <w:bookmarkStart w:id="11" w:name="X6fc241d3759d2ac6f2de2722a6d4446f92912ea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ПРИЛОЖЕНИЕ К АНАЛИТИЧЕСКОЙ ЗАПИСКЕ CIAQ-004</w:t>
      </w:r>
    </w:p>
    <w:bookmarkStart w:id="9" w:name="детализация-3-предложений-по-методу-6w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Детализация 3 предложений по методу 6W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Назначение приложения.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Аналитическая записка CIAQ-004 содержит три блока предложений по реформированию киноиндустрии Республики Казахстан: (1) ЕАИС / e-Kino, (2) Рибейты, (3) Налоговый режим. Настоящее приложение структурирует каждое предложение в едином формате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6W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Кто (Who) / Что (What) / Где (Where) / Когда (When) / Почему (Why) / Как (How) — для удобства совместного рассмотрения государственными органами Республики Казахстан и формирования межведомственной позиции.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"/>
    <w:bookmarkStart w:id="10" w:name="введение.-о-методе-6w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ВВЕДЕНИЕ. О методе 6W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Метод 6W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стандартная аналитическая рамка для policy-документов, применяемая ОЭСР, Всемирным банком и национальными агентствами стратегического планирования. Каждое предложение раскладывается по 6 базовым вопросам: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Вопрос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Что отражает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(What)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Суть предложения, конкретное содержание реформы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Почему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(Why)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Обоснование: проблема, контекст, риск бездействия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Кто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(Who)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заинтересованные стороны — инициатор, исполнитель, бенефициары, контроль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Где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(Where)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Сфера и территория применения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Когда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(When)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Сроки, этапность, дорожная карта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(How)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Механизм реализации, инструменты, бюджет, риски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Структура единая для всех 3 предложений — это позволяет сравнивать предложения между собой, формировать сводные таблицы по типу обязательств и распределять зоны ответственности между ведомствами.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0"/>
    <w:bookmarkEnd w:id="11"/>
    <w:bookmarkStart w:id="23" w:name="X992d56e653258a18c39c4572297de00d5f6ca9a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ПРЕДЛОЖЕНИЕ 1. ЕДИНАЯ АВТОМАТИЗИРОВАННАЯ ИНФОРМАЦИОННАЯ СИСТЕМА УЧЁТА КИНОПРОКАТА (ЕАИС / e-Kino)</w:t>
      </w:r>
    </w:p>
    <w:bookmarkStart w:id="12" w:name="что-what-содержание-предложения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1.1. ЧТО (What) — содержание предложения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Суть: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Формализовать опытную информационную систему e-Kino (запущена МКИ РК в 2025 году, охват 68 из 103 кинотеатров на добровольной основе) законодательной нормой об обязательном подключении всех демонстраторов фильмов и передаче данных о каждом проданном билете в реальном времени.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Конкретные нормативные изменения: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Закон РК «О кинематографии» № 212-VI ЗРК от 03.01.2019 — пакет поправок: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Новая статья 11-1 «Единая автоматизированная информационная система учёта показов фильмов»: обязанность всех коммерческих демонстраторов передавать в ЕАИС данные по каждому проданному билету (поля: дата, время, фильм, прокатное удостоверение, кинотеатр, зал, ряд, место, цена, скидка);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Поправка в статью 11: разграничение реестра фильмов (существующая норма) и реестра трансакций (новая норма);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Новая статья о статусе единого оператора — государственное юридическое лицо со 100% участием РК, не вовлечённое в кинопроизводство и кинопрокат;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Норма об ответственности — отсылочная к КоАП РК.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Кодекс РК об административных правонарушениях — новая статья: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За неподключение / непредоставление данных: для юридических лиц — от 0,1% до 1% годовой выручки кинотеатра, но не менее 100 МРП (≈432 500 тенге);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За повторное нарушение в течение года: от 1% до 4% годовой выручки, но не менее 400 МРП (≈1 730 000 тенге);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Принцип привязки штрафа к выручке (а не фиксированная сумма) обеспечивает пропорциональность санкции размеру оператора.</w:t>
      </w:r>
    </w:p>
    <w:p>
      <w:pPr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Постановление Правительства РК «Об утверждении правил функционирования ЕАИС учёта показов фильмов»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оператор, состав данных, технические требования, регламент передачи, права доступа ведомств.</w:t>
      </w:r>
    </w:p>
    <w:p>
      <w:pPr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Приказ МКИ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технические стандарты (форматы данных, API, требования к ЭЦП, требования к билетным системам кинотеатров).</w:t>
      </w:r>
    </w:p>
    <w:bookmarkEnd w:id="12"/>
    <w:bookmarkStart w:id="13" w:name="почему-why-обоснование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1.2. ПОЧЕМУ (Why) — обоснование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Системная проблема в количественном выражении.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Расхождения публичных оценок 2024 года: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Источник 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Источник 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Источник 3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Посещаемость кинотеатров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23 млн (turantimes.kz)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23,3 млн (pkzsk.info)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26,6 млн (kinometro.ru)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Совокупный бокс-офис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22,5 млрд тг национальное (zakon.kz)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43,9 млрд тг общий (Astana Times 11.2025)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22 млрд тг (Astana Times 03.2025)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Расхождение по посещаемости — до 15% (3,6 млн человек), по бокс-офису — до двух раз.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Это означает, что ни Министерство культуры и информации, ни Министерство финансов, ни инвесторы не имеют единого верифицируемого числа об объёме рынка.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Институциональный кейс как индикатор пробела.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2024–2025 годах Антимонопольное агентство дважды штрафовало АО «Казахфильм» — суммарно на 2 831 040 тенге — за «предоставление ложной информации и непредоставление информации антимонопольному органу». Кейс прямо иллюстрирует структурный пробел: государственный регулятор вынужден штрафовать государственную же студию за отсутствие данных, потому что нет независимого источника верификации показателей рынка.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Доминирующий публичный агрегатор статистики — Meloman Entertainment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одновременно контролирует ~41,2% рынка дистрибуции. Это создаёт системный конфликт интересов.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5 категорий последствий отсутствия ЕАИС: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Недостоверность рыночной статистики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невозможность обосновать перед Минфином увеличение господдержки.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Невозможность оценки рибейтов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базой расчёта служат декларации прокатчиков без независимой верификации.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Серая зона и потеря налогов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техническая возможность двойной отчётности; в РФ до запуска ЕАИС оценки серого сегмента 10-30% сборов.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Цифровое пиратство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около 60% молодых казахстанцев (14-29 лет) регулярно используют пиратские платформы; потери до 50% от потенциальных доходов проката.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Квоты и господдержка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невозможность администрирования квот на национальное кино без покинотеатральных данных.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Риск бездействия: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сохранение всех 5 категорий проблем; невозможность реализации Раздела II (рибейты) и Раздела III (налоги) без ЕАИС как инфраструктуры прозрачности.</w:t>
      </w:r>
    </w:p>
    <w:bookmarkEnd w:id="13"/>
    <w:bookmarkStart w:id="14" w:name="кто-who-заинтересованные-стороны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1.3. КТО (Who) — заинтересованные стороны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Основные функции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Инициатор реформы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культуры и информации РК (МКИ РК)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Запуск опытного проекта e-Kino (2025); продвижение законопроекта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Единый оператор (предлагается)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РГП на ПХВ при МКИ РК ИЛИ АО «Казахтелеком» / АО «НИТ» / иная государственная IT-структура, не вовлечённая в кинопроизводство и кинопрокат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Эксплуатация платформы; интеграция с кинотеатрами; публикация открытой статистики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Поднадзорные субъекты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коммерческие демонстраторы фильмов в РК (по данным на 2024 — 103-104 кинотеатра, 435 залов)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Подключение к ЕАИС; передача данных в реальном времени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Контрольные органы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АЗРК (антимонопольный надзор), КГД МФ РК (налоговый контроль)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Использование данных ЕАИС для расследований и контроля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Бенефициары — государственные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Минфин РК, КГД МФ РК, АЗРК, АСПИР, МНЭ РК, ГЦПНК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Доступ к верифицированной отраслевой статистике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Бенефициары — рыночные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Кинопроизводители (расчёт обратных отчислений); инвесторы (предынвестиционная проверка); зарубежные копродюсеры (стандартная отчётность); страховщики (гарантийное страхование завершения проекта, E&amp;O)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Прозрачные данные для принятия решений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Бенефициары — общественные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Зрители (доступ к достоверной аналитике); международные правообладатели (защита прав); академическое сообщество (исследования отрасли)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Open data по образцу KOBIS Кореи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Контроль законности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юстиции РК; Канцелярия Премьер-министра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законопроекта; включение в нацплан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Парламентский контроль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Сенат + Мажилис Парламента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Принятие поправок в Закон 212-VI и КоАП РК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Ключевое решение по выбору оператора.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Оператор ЕАИС должен быть структурно отделён от субъектов, чью отчётность он верифицирует. АО «Казахфильм» одновременно крупный получатель господдержки и крупный участник рынка — это исключает его как оператора по причине конфликта интересов. ГЦПНК также является получателем средств в рамках программы поддержки. Поэтому оператор должен быть либо новой государственной структурой при МКИ РК, либо переданной IT-инфраструктуре (Казахтелеком, НИТ).</w:t>
      </w:r>
    </w:p>
    <w:bookmarkEnd w:id="14"/>
    <w:bookmarkStart w:id="15" w:name="где-where-сфера-применения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1.4. ГДЕ (Where) — сфера применения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Территориальный охват: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вся территория Республики Казахстан, все коммерческие демонстраторы фильмов (≈103 кинотеатра на 2024 год, включая столицы, региональные центры и сельские локации).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Институциональный охват: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Все коммерческие кинотеатры (вне зависимости от формы собственности и масштаба сети);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Все организации, осуществляющие платную демонстрацию фильмов — включая стационарные кинотеатры, кинозалы при культурных центрах, временные показы за плату;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Не распространяется на: бесплатные показы (фестивали без билетов, образовательные показы, музейные экспозиции), частные домашние просмотры, корпоративные показы для сотрудников.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Интеграция с другими системами: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КГД МФ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целей контроля НДС и КПН;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ГЦПНК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расчёта обратных отчислений по национальным фильмам;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АЗРК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антимонопольных расследований;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МКИ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квот, статистики, господдержки;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Бюро национальной статистики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официальной отраслевой статистики;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МЦРИАП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целей цифровой повестки.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Международная интеграция: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возможность предоставления данных в European Audiovisual Observatory (EAO) и Comscore для целей международной аналитики и стандартной отчётности по программам копродукции.</w:t>
      </w:r>
    </w:p>
    <w:bookmarkEnd w:id="15"/>
    <w:bookmarkStart w:id="16" w:name="когда-when-сроки-и-этапность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1.5. КОГДА (When) — сроки и этапность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Этап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Период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Содержание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0. Завершение опытного проекта e-Kino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Подключение оставшихся 35% кинотеатров на добровольной основе; аудит качества данных; открытая публикация ежедневной статистики (по образцу KOBIS Кореи)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 Законопроект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— 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и внесение пакета поправок в Закон «О кинематографии» и КоАП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Минюст РК → Парламент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 Подзаконные акты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Постановление Правительства РК + приказ МКИ РК + технические стандарты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3. Обязательная фаза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 — 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Обязательное подключение всех коммерческих кинотеатров; переходный период 6–9 месяцев без штрафов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Оператор ЕАИС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4. Полный режим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2028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Применение санкций КоАП за неподключение и фальсификацию; публикация открытого годового отчёта в формате KOBIS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Оператор ЕАИС + АЗРК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 Промышленная эксплуатация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2028–2029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Интеграция с КГД для целей НДС-контроля; расширение функционала на иные показатели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Оператор ЕАИС + КГД + ГЦПНК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Критический путь: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Этап 1 (законопроект) должен начаться в 2026 Q4. Любая задержка по Этапу 1 сдвигает все последующие этапы и блокирует Раздел II (рибейты) и Раздел III (налоги).</w:t>
      </w:r>
    </w:p>
    <w:bookmarkEnd w:id="16"/>
    <w:bookmarkStart w:id="22" w:name="как-how-механизм-реализации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1.6. КАК (How) — механизм реализации</w:t>
      </w:r>
    </w:p>
    <w:bookmarkStart w:id="17" w:name="архитектура-системы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1.6.1. Архитектура системы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Базовая шестикомпонентная модель (по образцу ЕАИС РФ и KOBIS Кореи):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Кинотеатр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POS-/билетная система;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Шлюз/коннектор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программный модуль формирования стандартизованного пакета данных;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Защищённый канал передачи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(HTTPS + ЭЦП);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Центральный приёмник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сервер оператора;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Хранилище и аналитический слой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БД с витринами для регуляторов;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Личный кабинет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каждого демонстратора — контроль качества данных, расхождения, штрафы.</w:t>
      </w:r>
    </w:p>
    <w:bookmarkEnd w:id="17"/>
    <w:bookmarkStart w:id="18" w:name="бюджет-укрупнённая-оценк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1.6.2. Бюджет (укрупнённая оценка)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Статья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Объём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Период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CAPEX государства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(доработка платформы e-Kino, аналитический слой, интеграции)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0,8–1,5 млрд тенге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2026–2028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Ежегодный OPEX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(поддержка, развитие, кибербезопасность)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150–300 млн тенге/год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начиная с 2027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Затраты на стороне кинотеатров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(разовая интеграция)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300–800 тыс. тенге на кинотеатр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мере подключения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Источники финансирования (на выбор):</w:t>
      </w:r>
    </w:p>
    <w:p>
      <w:pPr>
        <w:pStyle w:val="Compact"/>
        <w:numPr>
          <w:ilvl w:val="0"/>
          <w:numId w:val="101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Республиканский бюджет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стандартное финансирование государственной информационной системы;</w:t>
      </w:r>
    </w:p>
    <w:p>
      <w:pPr>
        <w:pStyle w:val="Compact"/>
        <w:numPr>
          <w:ilvl w:val="0"/>
          <w:numId w:val="101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Целевой сбор с проданного билета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1–2 тенге на билет (по аналогии с французской TSA, но с микро-ставкой) → при текущей кассе 23 млн билетов/год даёт 23-46 млн тенге/год — недостаточно для CAPEX, но покрывает OPEX;</w:t>
      </w:r>
    </w:p>
    <w:p>
      <w:pPr>
        <w:pStyle w:val="Compact"/>
        <w:numPr>
          <w:ilvl w:val="0"/>
          <w:numId w:val="101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Смешанная схема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CAPEX из бюджета, OPEX из целевого сбора.</w:t>
      </w:r>
    </w:p>
    <w:bookmarkEnd w:id="18"/>
    <w:bookmarkStart w:id="19" w:name="информационная-безопасность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1.6.3. Информационная безопасность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Шифрование канала (HTTPS + ЭЦП); защищённое хранение в соответствии с Законом РК от 21.05.2013 № 94-V «О персональных данных и их защите»;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Дифференцированный доступ ведомств (каждое ведомство получает только данные в пределах своей компетенции);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Режим коммерческой тайны для индивидуальных данных операторов; публичная отчётность — в обезличенном/агрегированном виде по образцу KOBIS;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Ежегодный независимый аудит безопасности (включая penetration testing).</w:t>
      </w:r>
    </w:p>
    <w:bookmarkEnd w:id="19"/>
    <w:bookmarkStart w:id="20" w:name="риски-и-митигация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1.6.4. Риски и митигация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Риск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Митигация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Сопротивление кинотеатров (особенно сетей с сложным учётом)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Переходный период 6-9 месяцев без штрафов; компенсация затрат на интеграцию для малых региональных кинотеатров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проблемы интеграции с разными POS-системами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Стандартизация API; работа с поставщиками POS на этапе подготовки технических стандартов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Утечки коммерчески чувствительных данных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Многоуровневая защита; обезличивание публичных данных; ответственность оператора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Конфликт интересов оператора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Структурное отделение оператора от АО «Казахфильм» и ГЦПНК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Бюджетная нагрузка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Целевой сбор с билета как альтернативный источник финансирования</w:t>
            </w:r>
          </w:p>
        </w:tc>
      </w:tr>
    </w:tbl>
    <w:bookmarkEnd w:id="20"/>
    <w:bookmarkStart w:id="21" w:name="координирующий-орган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1.6.5. Координирующий орган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Межведомственная рабочая группа на базе МКИ РК с участием Минфина РК (НДС, КПН), КГД (контрольно-кассовые операции), АЗРК (доступ к данным для антимонопольных расследований), ГЦПНК / Казахфильма (рибейты), ассоциаций кинотеатров и продюсеров. Рабочая группа предлагает свою экспертно-консультативную поддержку как площадка отрасли.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21"/>
    <w:bookmarkEnd w:id="22"/>
    <w:bookmarkEnd w:id="23"/>
    <w:bookmarkStart w:id="38" w:name="Xa4ca02df688e2ef9788a3fe106ee225d8a909cf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ПРЕДЛОЖЕНИЕ 2. РИБЕЙТЫ — ВОЗМЕЩЕНИЕ РАСХОДОВ ИНВЕСТОРОВ В КИНОПРОИЗВОДСТВО</w:t>
      </w:r>
    </w:p>
    <w:bookmarkStart w:id="24" w:name="что-what-содержание-предложения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2.1. ЧТО (What) — содержание предложения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Суть: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Расширить и модернизировать действующую программу возмещения части расходов иностранным инвесторам в кинопроизводство (Закон РК № 212-VI ЗРК ст. 15; Приказ Министра культуры и спорта РК № 206 от 22.07.2019, V1900019071, с последующими изменениями) — для восстановления конкурентоспособности Казахстана как региональной локации.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Конкретные параметры предлагаемой модели:</w:t>
      </w:r>
    </w:p>
    <w:p>
      <w:pPr>
        <w:pStyle w:val="Compact"/>
        <w:numPr>
          <w:ilvl w:val="0"/>
          <w:numId w:val="101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Базовая ставка: 30% → 35%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+ система бонусов: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+5% за съёмки за пределами Алматы и Астаны (региональное развитие);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+5% за привлечение международного дистрибьютора (минимум 3 страны релиза);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+5% за прохождение Тест культурной значимости (демонстрация Казахстана как туристической дестинации, использование казахских культурных элементов);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+5% за наём казахстанских руководитель отдела (руководитель отдела) в ключевых позициях;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+5% за инвестиции в локальный постпродакшн (≥10% бюджета на постпрод в РК);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Максимум по бонусам: до 50%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(на уровне Канарских островов и Абу-Даби).</w:t>
      </w:r>
    </w:p>
    <w:p>
      <w:pPr>
        <w:pStyle w:val="Compact"/>
        <w:numPr>
          <w:ilvl w:val="0"/>
          <w:numId w:val="101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Предварительный сертификат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двухступенчатая сертификация: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Предварительный сертификат на pre-production: срок выдачи 30 дней, действителен 24 месяца;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Final certificate после завершения и аудита: срок 60 дней.</w:t>
      </w:r>
    </w:p>
    <w:p>
      <w:pPr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Сокращение полного цикла выплаты до 90 дней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(международный стандарт); поквартальные выплаты для крупных проектов; промежуточные выплаты после principal photography.</w:t>
      </w:r>
    </w:p>
    <w:p>
      <w:pPr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перечня квалифицируемых расходов: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постпродакшн (35-40%), VFX (35-40%, без предел), animation (35%), ATL расходы частично (до 25%), crew training.</w:t>
      </w:r>
    </w:p>
    <w:p>
      <w:pPr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Многолетний бюджет программы: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минимум 5 млрд тенге/год (~$10 млн USD) именно на рибейт иностранным инвесторам, отдельно от поддержки национального кино; программа на 5 лет (2026-2030).</w:t>
      </w:r>
    </w:p>
    <w:p>
      <w:pPr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Стабильность правил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закрепить ставку, бонусы и процедуры на 5 лет законодательно.</w:t>
      </w:r>
    </w:p>
    <w:p>
      <w:pPr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Институциональные меры: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Создание единого Кинокомиссия при МКИ РК — принцип «единого окна»;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Англоязычный международный портал;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Постоянное участие в Cannes Marché du Film, Berlinale EFM, AFM в Лос-Анджелесе.</w:t>
      </w:r>
    </w:p>
    <w:bookmarkEnd w:id="24"/>
    <w:bookmarkStart w:id="28" w:name="почему-why-обоснование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2.2. ПОЧЕМУ (Why) — обоснование</w:t>
      </w:r>
    </w:p>
    <w:bookmarkStart w:id="25" w:name="системные-проблемы-текущей-модели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Системные проблемы текущей модели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Проблема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Эффект на отрасль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Низкая базовая ставка (30%) относительно конкурентов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Уход потенциальных проектов в Венгрию (30%, $1 млрд/год), Италию (40%), Чехию (25-35%), ОАЭ (до 50%)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Отсутствие предварительный сертификат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Блокирует financial close проекта (банковское финансирование, equity-инвесторы)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Узкий перечень квалифицируемых расходов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Многие категории постпродакшна, VFX, animation выпадают из расчёта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Бюрократическая сложность процедуры (подача 1 раз в год до 1 марта)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Окно не синхронизировано с международным календарём pre-production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Ограниченный бюджет программы (~$6-10 млн USD)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Дефицит средств → очередь → потеря репутации стабильного партнёра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Институциональная неопределённость (обсуждаемые изменения роли ГЦПНК)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Международные продюсеры исключают Казахстан из предварительный список рассмотрения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Отсутствие публичной статистики выплат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Низкая прозрачность снижает доверие</w:t>
            </w:r>
          </w:p>
        </w:tc>
      </w:tr>
    </w:tbl>
    <w:bookmarkEnd w:id="25"/>
    <w:bookmarkStart w:id="26" w:name="Xa78790b4111151ae24e13fd6bf49ab5cbb26acb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Конкурентное окружение — критический фактор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Узбекистан с 1 марта 2026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ввёл дифференцированную систему рибейта до 25% для крупных проектов; запустил инициативу Global Cinema Weekend (Ташкент, май 2026) для агрессивного маркетинга.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Кыргызстан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заявил о новой программе «Снимай в Кыргызстане» с возмещением до 35% (директор Кыргыз-Тасмасы Толобеков, конец 2025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Грузия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(2016) за 8 лет привлекла 64 международных проекта через программу «Снимай в Грузии» (20-25% + 2-5% Тест культурной значимости).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Венгрия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(с 2008 года) построила отрасль с долей 2% ВВП и 20 000 рабочих мест; в 2024 году — иностранных кинопроизводств в стране более $1 млрд.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Великобритания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через AVEC (25,5–39,75% net) даёт коэффициент мультипликации £8,31 GVA на каждый £1 льгот и £3,74 налоговых поступлений (Olsberg SPI / HMRC, исследование 2015).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Стратегический вывод: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Казахстан рискует проиграть позицию регионального лидера в течение 1-2 лет, если не повысит ставку и не введёт бонусы. Каждый «проигрыш» — потенциальный killer для решения международного продюсера.</w:t>
      </w:r>
    </w:p>
    <w:bookmarkEnd w:id="26"/>
    <w:bookmarkStart w:id="27" w:name="риск-бездействия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Риск бездействия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При сохранении текущих параметров: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Отток потенциальных международных проектов в Узбекистан (25% + Global Cinema Weekend) и Кыргызстан (заявленные 35%);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Невозможность привлечения крупных стриминговых платформ (Netflix, HBO, Disney) без предварительный сертификат;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Невозможность роста экспорта услуг кинопроизводства;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Деградация национальной продакшен-сервисной инфраструктуры.</w:t>
      </w:r>
    </w:p>
    <w:bookmarkEnd w:id="27"/>
    <w:bookmarkEnd w:id="28"/>
    <w:bookmarkStart w:id="29" w:name="кто-who-заинтересованные-стороны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2.3. КТО (Who) — заинтересованные стороны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Основные функции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Инициатор реформы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ГЦПНК + рабочая группа (CIAQ + Лига кинематографистов)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и продвижение реформы программы рибейтов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Оператор программы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АО «Государственный центр поддержки национального кино» (ГЦПНК) — либо чётко определённый преемник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Приём заявок, сертификация, выплата рибейта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Получатели рибейта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Иностранные юридические лица (продакшен-компании, копродюсеры), их филиалы и представительства в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Возмещение части квалифицированных расходов в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Бенефициары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Казахстанские продакшен-сервис компании; съёмочные группы (crew); регионы съёмок; гостиничный сектор; логистика; общепит; постпродакшн-студии; VFX-студии; учебные заведения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Заказы на обслуживание иностранных съёмок; занятость; экспорт услуг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Контроль и надзор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Антимонопольное агентство (АЗРК) — недискриминационный доступ; КГД — налоговое администрирование; Минфин РК — бюджетная дисциплина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Контроль соблюдения правил программы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Премьер-министра РК; МНЭ РК; 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программы в нацплан; межотраслевая координация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Парламентский контроль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Сенат + Мажилис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Утверждение многолетнего бюджета; контроль реализации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Международная инфраструктура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Cannes Marché du Film, Berlinale EFM, AFM, BERLINALE Co-Production Market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Площадки для маркетинга программы</w:t>
            </w:r>
          </w:p>
        </w:tc>
      </w:tr>
    </w:tbl>
    <w:bookmarkEnd w:id="29"/>
    <w:bookmarkStart w:id="30" w:name="где-where-сфера-применения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2.4. ГДЕ (Where) — сфера применения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Территориальный охват: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Базовая ставка 35% — съёмки в любых регионах Казахстана;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Бонус +5% за региональность — съёмки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за пределами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городов Алматы и Астаны (стимулирование Алматинской, Туркестанской, Жетысуской, Акмолинской, Восточно-Казахстанской и других областей);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Постпродакшн (повышенная ставка 30-35%) — приоритет локализации в Алматы и Астане (концентрация специалистов).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Институциональный охват: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Все коммерческие кинопроекты (полнометражные фильмы, телесериалы, документалистика, анимация, рекламные кампании с международным дистрибьютором);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Проекты должны иметь подтверждённый бюджет, страховку, гарантийное страхование завершения проекта;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Минимум локальных расходов: 50% бюджета в РК (по аналогии с Францией) — для применения базовой ставки 35%.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Международная инфраструктура продвижения: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Cannes Marché du Film (май);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Berlinale European Film Market (февраль);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AFM (American Film Market, ноябрь);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TIFF Industry (Toronto International Film Festival);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Co-Production Markets — Berlinale, San Sebastian, Rotterdam.</w:t>
      </w:r>
    </w:p>
    <w:bookmarkEnd w:id="30"/>
    <w:bookmarkStart w:id="31" w:name="когда-when-сроки-и-этапность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2.5. КОГДА (When) — сроки и этапность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Этап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Период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Содержание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 Подготовка реформы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пакета поправок: ставка 30→35% + 5 бонусов; предварительный сертификат; расширение перечня расходов; многолетний бюджет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ГЦПНК + рабочая группа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 Закрепление в НПА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Изменения в Приказ МКС РК (V1900019071); согласование многолетнего бюджета 5 млрд тг/год на 5 лет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Минфин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3. Запуск новой модели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Старт программы; международный маркетинг (стенд на Berlinale EFM); англоязычный портал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ГЦПНК + Кинокомиссия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4. Предварительный сертификат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Внедрение процедуры пред-сертификации; первые 3-5 одобренных международных проектов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ГЦПНК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 Привлечение крупных проектов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 — 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Стенд на Cannes Marché du Film; привлечение 5-10 крупных проектов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Кинокомиссия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6. Независимая оценка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Заказ Olsberg SPI-style исследования экономического эффекта программы — контрфактический + мультипликативный эффект analysis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ГЦПНК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7. Расширение по итогам опытной фазы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2028-2029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Ревизия программы по результатам 2-летней эксплуатации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ГЦПНК</w:t>
            </w:r>
          </w:p>
        </w:tc>
      </w:tr>
    </w:tbl>
    <w:bookmarkEnd w:id="31"/>
    <w:bookmarkStart w:id="37" w:name="как-how-механизм-реализации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2.6. КАК (How) — механизм реализации</w:t>
      </w:r>
    </w:p>
    <w:bookmarkStart w:id="32" w:name="бюджет-программы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2.6.1. Бюджет программы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Статья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Объём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Период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Целевой бюджет рибейта для иностранных инвесторов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 млрд тенге/год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2026-2030 (5 лет)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Совокупный бюджет на 5 лет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25 млрд тенге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Резерв на крупные проекты (&gt;$5 млн spend)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 до 30% годового бюджета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Сравнение с конкурентами: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программы рибейтов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Венгрия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HUF 70 млрд (≈€168 млн = ~85 млрд тенге) на 2026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Малайзия (FIMI)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RM 300 млн (≈$66 млн = ~30 млрд тенге) на 5 лет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Великобритания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(creative industries reliefs)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£2,4 млрд (≈1 360 млрд тенге) — 2023/24 FY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Казахстан (предлагается)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 млрд тенге/год = 25 млрд за 5 лет</w:t>
            </w:r>
          </w:p>
        </w:tc>
      </w:tr>
    </w:tbl>
    <w:bookmarkEnd w:id="32"/>
    <w:bookmarkStart w:id="33" w:name="X2d9704195bde4e1dda778d362555364803184d9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2.6.2. Тест культурной значимости (по аналогии с Грузией и BFI)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Начисление бонуса +5% за прохождение Тест культурной значимости — баллы за: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Фильм демонстрирует Казахстан как туристическую дестинацию (горы, степи, города): +1 балл;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Использование казахских культурных элементов (музыка, традиции, исторические сюжеты): +1 балл;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Казахстанский флаг или узнаваемые локации в кадре ≥10 секунд: +1 балл;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Релиз в кинотеатрах ≥3 стран ЕС/США/Канады/Индии/Китая: +1 балл;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Постпродакшн в Казахстане (≥10% бюджета на постпрод): +1 балл.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Минимум 3 из 5 баллов — для применения бонуса +5%.</w:t>
      </w:r>
    </w:p>
    <w:bookmarkEnd w:id="33"/>
    <w:bookmarkStart w:id="34" w:name="X9798f10007d5687bccf6208ee6470bd8bc6df22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2.6.3. Предварительный сертификат — детализация процедуры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Этап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Содержание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Подача заявки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начала principal photography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Бизнес-план, бюджет, locations, crew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Рассмотрение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 дней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Проверка соответствия критериям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Выдача Предварительный сертификат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итогам рассмотрения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Подтверждение принципиальной квалификации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действия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 месяца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завершения производства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Final certificate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После аудита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60 дней с момента подачи финального отчёта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Выплата рибейта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90 дней с финального certificate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Полная сумма или поквартальные выплаты</w:t>
            </w:r>
          </w:p>
        </w:tc>
      </w:tr>
    </w:tbl>
    <w:bookmarkEnd w:id="34"/>
    <w:bookmarkStart w:id="35" w:name="институциональная-архитектур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2.6.4. Институциональная архитектура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Создание единого Кинокомиссия при МКИ РК — принцип «единого окна»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всех вопросов международного продакшена: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Pre-approval рибейта;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Координация локаций (с акиматами);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Разрешения на съёмки (с МВД, МО, экологическими службами);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Виза и регистрация съёмочной группы (с миграционной службой);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Налоговые консультации (с КГД);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Связь с ATA Carnet (с CICK при «Атамекене»);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Маркетинг (международный портал, стенды на кинорынках).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Англоязычный международный портал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(по аналогии с filmingeorgia.ge, fcs.rs, nfi.hu): актуальные параметры программы; шаблоны заявок; FAQ для иностранных продюсеров; success cases; контакты Кинокомиссия.</w:t>
      </w:r>
    </w:p>
    <w:bookmarkEnd w:id="35"/>
    <w:bookmarkStart w:id="36" w:name="риски-и-митигация-1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2.6.5. Риски и митигация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Риск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Митигация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Дефицит бюджета программы → очередь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Многолетний бюджет 5 млрд тг/год на 5 лет; резерв 30%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Институциональная неопределённость с ГЦПНК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Законодательное закрепление статуса оператора на 5 лет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Отсутствие международной известности программы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Постоянное присутствие на 4 главных кинорынках; англоязычный портал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Бюрократические задержки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Предварительный сертификат; поквартальные выплаты; SLA по срокам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Злоупотребления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Тест культурной значимости; независимый CPA-аудит для проектов &gt;€1 млн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6"/>
    <w:bookmarkEnd w:id="37"/>
    <w:bookmarkEnd w:id="38"/>
    <w:bookmarkStart w:id="56" w:name="X56a2247dec50e280fe13bc01bc4ee1ee186e61d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ПРЕДЛОЖЕНИЕ 3. НАЛОГОВЫЙ РЕЖИМ В КИНООТРАСЛИ</w:t>
      </w:r>
    </w:p>
    <w:bookmarkStart w:id="39" w:name="что-what-содержание-предложения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3.1. ЧТО (What) — содержание предложения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Суть: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Создание отраслевого налогового режима для киноиндустрии Республики Казахстан — пакет из 7 взаимосвязанных мер, восполняющих отсутствие специализированного налогового инструментария отрасли в действующем Налоговом кодексе РК (НК-2026).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Структура пакета: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Целевая ставка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Аналоги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Пониженный НДС на билеты в кинотеатры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5% (вместо 16%)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Франция 5,5%, Польша 8%, Германия 7%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Налоговый кредит на кинопроизводство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25-30% (производство), 30-35% (VFX/постпродакшн)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Италия 40%, Чехия 25%, Германия 30%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R&amp;D-вычет для VFX и анимации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Усиление 175%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Канада SR&amp;ED 15-35%, UK VFX 39% gross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Спецрежим для самозанятых киношников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«Карта творческого работника РК»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Франция intermittent du spectacle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стимулирование инвестиций для частных инвесторов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150-200% вычет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Бельгия 421%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СЭЗ «Almaty Film Park» / «Astana Film Park»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0% КПН на 10 лет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Cinecittà, Studio Babelsberg, Pinewood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ATA Carnet и упрощённый временный ввоз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Освобождение от пошлин и НДС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РК — член Конвенции с 01.04.2017 (не используется)</w:t>
            </w:r>
          </w:p>
        </w:tc>
      </w:tr>
    </w:tbl>
    <w:bookmarkEnd w:id="39"/>
    <w:bookmarkStart w:id="45" w:name="почему-why-обоснование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3.2. ПОЧЕМУ (Why) — обоснование</w:t>
      </w:r>
    </w:p>
    <w:bookmarkStart w:id="40" w:name="текущая-позиция-казахстан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Текущая позиция Казахстана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В Казахстане существует только одно отраслевое налоговое освобождение для кино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подп. 44 п. 1 ст. 394 НК РК (НДС-льгота на B2B-производство для инвестора). Этого недостаточно для конкурентоспособности отрасли.</w:t>
      </w:r>
    </w:p>
    <w:bookmarkEnd w:id="40"/>
    <w:bookmarkStart w:id="41" w:name="усиление-налогового-давления-в-2026-году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Усиление налогового давления в 2026 году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С 1 января 2026 года вступили в силу изменения в Налоговый кодекс РК (Закон РК от 2025 года, K2500000214):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НДС повышен с 12% до 16%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(статья 503);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Порог обязательной регистрации по НДС снижен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 10 000 МРП = 43,25 млн тенге;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ИПН становится прогрессивным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15% для доходов свыше 8 500 МРП в год (≈36,76 млн тенге).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В отсутствие отраслевых льгот эти изменения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ударяют по киноотрасли непропорционально сильно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малый бизнес выходит из режима, кинотеатры платят полную ставку НДС, индивидуальные кинопрофессионалы попадают в прогрессивную ставку ИПН.</w:t>
      </w:r>
    </w:p>
    <w:bookmarkEnd w:id="41"/>
    <w:bookmarkStart w:id="42" w:name="конкурентное-окружение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Конкурентное окружение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Италия — Налоговый кредит Cinema: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40% производство, 30% постпродакшн, 30% залы; объём производства фильмов вырос на 200% после введения; €1 льготы → €2,5 в экономику; +15 тыс. рабочих мест.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Великобритания — AVEC: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25,5–39,75% net; £1,3 млрд relief генерирует £5,7 млрд производства, 100 тыс. рабочих мест.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Германия — DFFF/GMPF: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30% (с 2025), бюджет €250 млн с 2026.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Чехия — Денежное возмещение расходов: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25% live-action / 35% анимация (с 2025); предел €18 млн.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Бельгия — Налоговое стимулирование инвестиций: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421% вычет инвестору; гарантированная доходность 5,3% + EURIBOR; €225 млн годовой предел.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Россия: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освобождение от НДС для участников производства фильмов с удостоверением национального фильма; для производителей анимации — 3% налог на прибыль (vs общая ставка 25%).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Сравнение с Казахстаном: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ни одного из этих инструментов в РК нет. Даже базовая льгота по НДС на билеты, действующая практически во всех странах Европы — отсутствует.</w:t>
      </w:r>
    </w:p>
    <w:bookmarkEnd w:id="42"/>
    <w:bookmarkStart w:id="43" w:name="системные-барьеры-5-категорий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Системные барьеры (5 категорий)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НДС на билеты vs стриминг — асимметрия.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Кинотеатры платят 16% НДС, нерезидентные стриминг-операторы фактически избегают полноценного налогообложения.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Высокая нагрузка на самозанятых.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Совокупная нагрузка ≈27,5%; 60-70% киноспециалистов работают в серой зоне.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R&amp;D-вычетов для VFX и анимации.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Высокотехнологичные сегменты не получают стимула к локализации.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Импортные пошлины на оборудование.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ATA Carnet присоединён в 2017 году, но не используется. На профессиональную съёмочную «груду» $1 млн — лишних $210-260 тыс. издержек.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стимулов для инвесторов.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Нет аналогов EIS/SEIS, Налоговое стимулирование инвестиций, Section 481 → частный капитал избегает кино как высокорискового актива без налогового хеджа.</w:t>
      </w:r>
    </w:p>
    <w:bookmarkEnd w:id="43"/>
    <w:bookmarkStart w:id="44" w:name="риск-бездействия-1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Риск бездействия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Отток малого киношного бизнеса в общепит и торговлю (после повышения порога НДС);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Потеря квалифицированных кадров (отъезд в Узбекистан, Кыргызстан, Грузию);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Невозможность развития VFX/анимации как экспортной отрасли;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Сохранение зависимости отрасли от государственных грантов вместо диверсификации источников финансирования.</w:t>
      </w:r>
    </w:p>
    <w:bookmarkEnd w:id="44"/>
    <w:bookmarkEnd w:id="45"/>
    <w:bookmarkStart w:id="47" w:name="кто-who-заинтересованные-стороны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3.3. КТО (Who) — заинтересованные стороны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каким мерам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Инициатор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+ CIAQ + Лига кинематографистов + НПП «Атамекен»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7 мер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Профильный регулятор по налогам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финансов РК + КГД МФ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Меры 1, 2, 3, 4 (поправки в НК РК)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Регулятор финансового рынка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(Налоговое стимулирование инвестиций); МФЦА / AFSA (для размещения кинофондов)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 5 (Налоговое стимулирование инвестиций)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Регулятор экономики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 + 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 6 (СЭЗ); координация с Концепцией КИ 2030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ИТ-режим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 3 (R&amp;D через Astana Hub Park)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Таможня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 МФ РК + ЕАЭС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 7 (ATA Carnet)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Бизнес-сообщество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«Атамекен»; CICK (Палата международной коммерции)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меры (позиция бизнеса); Мера 7 (CICK как guaranteeing association)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Парламент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Сенат + Мажилис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меры (поправки в НК РК)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Минюст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юстиции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меры (нормотворческое сопровождение)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Региональные акиматы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Алматы, Астана, Алматинская обл.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 6 (СЭЗ Film Park)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Премьер-министра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Межведомственная рабочая группа</w:t>
            </w:r>
          </w:p>
        </w:tc>
      </w:tr>
    </w:tbl>
    <w:bookmarkStart w:id="46" w:name="бенефициары-пакета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Бенефициары пакета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Группа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Какие меры дают прямой эффект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Зрители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(НДС 5% → возможное снижение цены билета на 5-10%)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Кинотеатры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(рост маржинальности)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Национальные продюсеры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(Налоговый кредит), 4 (легализация съёмочной группы)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Иностранные продюсеры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 (ATA Carnet — экономия $210-260K на ввозе)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VFX и анимационные студии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 (R&amp;D-вычет 175%), 6 (СЭЗ Film Park)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Самозанятые киношники (актёры, операторы, гримёры)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 (Карта творческого работника)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Частные инвесторы (HNWI, корпоративные, БВУ)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 (Налоговое стимулирование инвестиций — гарантированная доходность)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Регионы размещения СЭЗ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 (СЭЗ Film Park — занятость 1000+ прямой, 3000+ косвенной)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Государство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меры (коэффициент мультипликации 2-3x по OECD)</w:t>
            </w:r>
          </w:p>
        </w:tc>
      </w:tr>
    </w:tbl>
    <w:bookmarkEnd w:id="46"/>
    <w:bookmarkEnd w:id="47"/>
    <w:bookmarkStart w:id="49" w:name="где-where-сфера-применения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3.4. ГДЕ (Where) — сфера применения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Сфера применения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Территория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 НДС 5% на билеты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коммерческие кинотеатры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 Налоговый кредит на производство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Национальные продюсеры; международные TC для иностранных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РК; региональный uplift +5% вне Алматы/Астаны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 R&amp;D-вычет для VFX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VFX и анимационные студии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 (концентрация в Алматы и Астане)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4. Карта творческого работника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самозанятые киноспециалисты в реестре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5. 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Частные инвесторы (юрлица и физлица); инвестиции через лицензированные кинофонды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РК; возможно размещение фондов в МФЦА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6.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Резиденты СЭЗ — студии, павильоны, постпродакшн-центры, школы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Алматы (приоритет); Астана; Туркестан или Алматинская обл.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7.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Иностранные продакшены, ввозящие профессиональное оборудование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таможенные посты РК (приоритет — Алматы, Астана международные)</w:t>
            </w:r>
          </w:p>
        </w:tc>
      </w:tr>
    </w:tbl>
    <w:bookmarkStart w:id="48" w:name="международный-аспект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Международный аспект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МФЦА (AIFC)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возможность размещения лицензированных кинофондов в режиме AFSA с упрощённой регистрацией, специальным налоговым режимом, токенизацией;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Соглашения об избежании двойного налогообложения (DTA)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упрощение процедуры для нерезидентных творческих работников (актёры, режиссёры) через стандартизированные DTA-формы;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Конвенция ATA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РК член с 01.04.2017; CICK при НПП «Атамекен» как национальная guaranteeing association.</w:t>
      </w:r>
    </w:p>
    <w:bookmarkEnd w:id="48"/>
    <w:bookmarkEnd w:id="49"/>
    <w:bookmarkStart w:id="50" w:name="когда-when-сроки-и-этапность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3.5. КОГДА (When) — сроки и этапность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Этап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Период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Содержание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Ведущее ведомство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Концепция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и согласование пакета 7 мер; оценка фискального эффекта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Минфин + CIAQ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Налоговый кредит + НДС-льгота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Внесение поправок в НК РК (ст. 503, 134-1, новая глава о Налоговый кредит)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МКИ → Парламент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Принятие пакета I (НДС, Налоговый кредит, R&amp;D)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Парламент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Парламент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Спецрежим самозанятых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Новая глава НК РК + цифровой реестр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Минтруд + Минфин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ATA Carnet — институциональная имплементация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Информационная кампания КГД; методичка; обучение таможни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 + CICK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стимулирование инвестиций — фаза оценки реализуемости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Q1-Q2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Межведомственная рабочая группа; правовое моделирование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+ Минфин + МКИ + АФК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стимулирование инвестиций — опытный проект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 — 2028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опытный проект с предел 3-5 млрд тг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+ Минфин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Q1-Q2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Постановление Правительства; ТЭО; выделение земли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+ МКИ + акимат Алматы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Резиденты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Q3 →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Регистрация первых резидентов; запуск инфраструктуры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Film Park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Ревизия эффекта пакета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Olsberg SPI-style исследование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Минфин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Масштабирование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2029-2030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Расширение успешных мер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ведомства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Критический путь: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Налоговый кредит (Мера 2) и НДС 5% (Мера 1) — должны быть приняты в 2027 Q1 в одном пакете. Налоговое стимулирование инвестиций (Мера 5) — самая длительная по согласованию (АРРФР, Минфин, МКИ — 3 ведомства), требует фазы оценки реализуемости 6 месяцев.</w:t>
      </w:r>
    </w:p>
    <w:bookmarkEnd w:id="50"/>
    <w:bookmarkStart w:id="55" w:name="как-how-механизм-реализации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3.6. КАК (How) — механизм реализации</w:t>
      </w:r>
    </w:p>
    <w:bookmarkStart w:id="51" w:name="бюджетный-эффект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3.6.1. Бюджетный эффект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Краткосрочные «потери» бюджета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15-30 млрд тенге/год в первые 2-3 года: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Оценка (млрд тг/год)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Логика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 НДС-льгота на билеты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3-5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Текущая касса 30-40 млрд × снижение эффективной ставки на 11 п.п.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 Налоговый кредит на производство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8-12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Целевой объём производства 30-50 млрд тг × ставка 25% × utilization 70-80%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 R&amp;D вычеты для VFX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1-2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VFX-сектор ~3-5 млрд тг расходов × усиление 75% × КПН 20%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4. Спецрежим самозанятых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0,5-1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~2-3 тыс. киноспециалистов × снижение ставки на 5-10 п.п.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5. 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3-5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Предел программы 15 млрд тг × средняя ставка 20% × коэффициент 1,5-2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6.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1-3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Переходный период; небольшой стартовый объём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Долгосрочный эффект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(коэффициент мультипликации 2-3x по OECD/Olsberg SPI):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Прирост киноотраслевого производства с 10-15 → 30-60 млрд тг/год через 3-5 лет;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Налоговые поступления возвратные (ИПН с растущей занятости): +1,5-2 тыс. рабочих мест;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Экспорт услуг: $5-20 млн/год валютной выручки;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Точка выхода на бюджетную нейтральность: 4-6 лет.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Кейсы окупаемости:</w:t>
      </w:r>
    </w:p>
    <w:p>
      <w:pPr>
        <w:pStyle w:val="Compact"/>
        <w:numPr>
          <w:ilvl w:val="0"/>
          <w:numId w:val="102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Италия — окупилась за 4 года; €1 льготы → €2,5 в экономику;</w:t>
      </w:r>
    </w:p>
    <w:p>
      <w:pPr>
        <w:pStyle w:val="Compact"/>
        <w:numPr>
          <w:ilvl w:val="0"/>
          <w:numId w:val="102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Канада Quebec — коэффициент мультипликации 2,8x; экспорт услуг $1,5 млрд;</w:t>
      </w:r>
    </w:p>
    <w:p>
      <w:pPr>
        <w:pStyle w:val="Compact"/>
        <w:numPr>
          <w:ilvl w:val="0"/>
          <w:numId w:val="1029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Ирландия — Section 481 → Game of Thrones €1 млрд локальных трат.</w:t>
      </w:r>
    </w:p>
    <w:bookmarkEnd w:id="51"/>
    <w:bookmarkStart w:id="52" w:name="Xbdfa5bea681cd9c066a42fbf637800e84599065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3.6.2. Поэтапный подход к Налоговое стимулирование инвестиций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Учитывая институциональную сложность Налоговое стимулирование инвестиций (координация АРРФР, Минфина, МКИ, КГД, АФК, профильных участников финансового рынка), предлагается: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Создание межведомственной рабочей группы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составе: Минфин, АРРФР, МКИ, ГЦПНК, КГД, представители Ассоциации финансистов Казахстана, CIAQ, Лига кинематографистов;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фаза оценки реализуемости 6 месяцев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детальное правовое моделирование, оценка фискального эффекта, проработка регуляторного режима для лицензированных кинофондов;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опытный проект 2027-2028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ограниченным пределом 3-5 млрд тенге;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 целевых параметров (предел 15 млрд тг/год) по итогам опытного проекта и независимой оценки экономического эффекта.</w:t>
      </w:r>
    </w:p>
    <w:bookmarkEnd w:id="52"/>
    <w:bookmarkStart w:id="53" w:name="институциональная-архитектура-1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3.6.3. Институциональная архитектура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Координирующий орган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Поддерживающие ведомства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 НДС-льгота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КГД, Парламент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 Налоговый кредит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КГД, ГЦПНК, BFI-эксперты для Тест культурной значимости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 R&amp;D-вычет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МЦРИАП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КГД, Astana Hub Park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4. Карта творческого работника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Минтруд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Минфин, КГД, цифровой реестр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5. 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+ Минфин +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КГД, АФК, МФЦА, лицензированные фонды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6.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+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Минфин, КГД, акимат Алматы, 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7.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CICK при НПП «Атамекен»</w:t>
            </w:r>
          </w:p>
        </w:tc>
      </w:tr>
    </w:tbl>
    <w:bookmarkEnd w:id="53"/>
    <w:bookmarkStart w:id="54" w:name="риски-и-митигация-2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3.6.4. Риски и митигация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Риск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Митигация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Сопротивление Минфина из-за бюджетных потерь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Демонстрация коэффициента мультипликации 2-3x; международные кейсы; опытный проект вместо общего запуска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Сложность Налоговое стимулирование инвестиций (3+ ведомства)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Поэтапный подход через рабочую группу; фаза оценки реализуемости 6 мес.; опытный проект 2027-2028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Риск злоупотребления налоговыми льготами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Тест культурной значимости; независимый CPA-аудит; предельный объём на проект и годовой; transparent reporting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Низкая использованность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Информационная кампания КГД; опытные карнеты с приоритетным прохождением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Сложность администрирования Карты творческого работника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Цифровой реестр МКИ (по аналогии с реестром деятелей культуры); самоиндентификация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54"/>
    <w:bookmarkEnd w:id="55"/>
    <w:bookmarkEnd w:id="56"/>
    <w:bookmarkStart w:id="57" w:name="сводная-таблица-6w-по-3-предложениям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СВОДНАЯ ТАБЛИЦА — 6W ПО 3 ПРЕДЛОЖЕНИЯМ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ЕАИС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Рибейты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Что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 11-1 + КоАП за неподключение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Ставка 35% + 5 бонусов; предварительный сертификат; 5 млрд/год бюджет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Пакет 7 мер: НДС 5%, Налоговый кредит 25-30%, R&amp;D 175%, СНР для самозанятых, Налоговое стимулирование инвестиций, СЭЗ, ATA Carnet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Почему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Расхождение статистики 2x; 60% пиратство; кейс Казахфильма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Узбекистан 25%, Кыргызстан 35% — рискуем потерять регион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Только 1 отраслевая льгота; рост НДС 12→16% усугубил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Кто (инициатор)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e-Kino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ГЦПНК + рабочая группа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CIAQ + Лига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Кто (исполнитель)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+ Оператор (новая структура)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ГЦПНК + Кинокомиссия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Минфин + КГД + АРРФР + МНЭ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Где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103 кинотеатра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Вся РК + бонус +5% регионам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НК РК + СЭЗ Алматы/Астана + МФЦА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Когда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 опытный проект → 2028 Q2 полный режим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НПА → 2027 Q1 запуск → 2028 ревизия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концепция → 2027 пакет I → 2029 ревизия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Как (бюджет)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CAPEX 0,8-1,5 млрд + OPEX 150-300 млн/год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 млрд тг/год × 5 лет = 25 млрд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15-30 млрд/год потерь; нейтральность 4-6 лет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Межведомственная РГ при 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 + МНЭ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 + межведомственная РГ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57"/>
    <w:bookmarkStart w:id="58" w:name="заключительный-комментарий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ЗАКЛЮЧИТЕЛЬНЫЙ КОММЕНТАРИЙ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Три предложения связаны причинно-следственными отношениями:</w:t>
      </w:r>
    </w:p>
    <w:p>
      <w:pPr>
        <w:pStyle w:val="Compact"/>
        <w:numPr>
          <w:ilvl w:val="0"/>
          <w:numId w:val="103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ЕАИС создаёт инфраструктуру прозрачности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→ объективная оценка эффективности рибейтов и налоговых льгот;</w:t>
      </w:r>
    </w:p>
    <w:p>
      <w:pPr>
        <w:pStyle w:val="Compact"/>
        <w:numPr>
          <w:ilvl w:val="0"/>
          <w:numId w:val="103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рибейтов привлекает инвестиции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→ в условиях прозрачной системы дают верифицируемый налоговый возврат;</w:t>
      </w:r>
    </w:p>
    <w:p>
      <w:pPr>
        <w:pStyle w:val="Compact"/>
        <w:numPr>
          <w:ilvl w:val="0"/>
          <w:numId w:val="103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Корректировка налогового режима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→ снижает порог входа для отрасли, удерживает таланты, привлекает частный капитал.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Поэтому пакет должен рассматриваться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системно</w:t>
      </w:r>
      <w:r>
        <w:rPr>
          <w:rFonts w:ascii="Times New Roman" w:hAnsi="Times New Roman"/>
          <w:color w:val="000000"/>
          <w:sz w:val="24"/>
        </w:rPr>
        <w:t xml:space="preserve">: реализация только одного направления без двух других даст частичный эффект, реализация всех трёх — синергетический.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Рабочая группа предлагает создание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межведомственной рабочей группы при Канцелярии Премьер-министра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координации реализации всех трёх предложений в горизонте 2026-2029 годов и готова выступить экспертно-консультативной площадкой по линии отрасли.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Подписанты от Рабочей группы: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Объединение юридических лиц и индивидуальных предпринимателей «Альянс креативных индустрий Казахстана» (CIAQ):</w:t>
      </w:r>
    </w:p>
    <w:p>
      <w:pPr>
        <w:pStyle w:val="Compact"/>
        <w:numPr>
          <w:ilvl w:val="0"/>
          <w:numId w:val="103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Туганов Давид Хамитович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Президент CIAQ</w:t>
      </w:r>
    </w:p>
    <w:p>
      <w:pPr>
        <w:pStyle w:val="Compact"/>
        <w:numPr>
          <w:ilvl w:val="0"/>
          <w:numId w:val="103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Курмашев Эрнар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Координатор Комитета по развитию киноиндустрии CIAQ / Tolqyn Film Fund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Общественного объединения «Лига кинематографистов Казахстана»:</w:t>
      </w:r>
    </w:p>
    <w:p>
      <w:pPr>
        <w:pStyle w:val="Compact"/>
        <w:numPr>
          <w:ilvl w:val="0"/>
          <w:numId w:val="103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Баталов Айдар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Председатель правления</w:t>
      </w:r>
    </w:p>
    <w:p>
      <w:pPr>
        <w:pStyle w:val="Compact"/>
        <w:numPr>
          <w:ilvl w:val="0"/>
          <w:numId w:val="103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Аскаров Олжас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Заместитель председателя правления по стратегическим вопросам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НПП «Атамекен» (Комитет по туризму и креативным индустриям):</w:t>
      </w:r>
    </w:p>
    <w:p>
      <w:pPr>
        <w:pStyle w:val="Compact"/>
        <w:numPr>
          <w:ilvl w:val="0"/>
          <w:numId w:val="103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Тикенов Ергали Ансарович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Руководитель Комитета по туризму и креативным индустриям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Независимые эксперты отрасли — по отдельному перечню (приложение к подписному листу).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Дата: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«04 мая 2026 г.»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Исх. № документа: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CIAQ-004 / Прил. 1</w:t>
      </w:r>
    </w:p>
    <w:bookmarkEnd w:id="58"/>
    <w:sectPr>
      <w:footnotePr>
        <w:numRestart w:val="eachSect"/>
      </w:footnote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425" w:hanging="215"/>
      </w:pPr>
    </w:lvl>
    <w:lvl w:ilvl="1">
      <w:numFmt w:val="bullet"/>
      <w:lvlText w:val=" "/>
      <w:lvlJc w:val="left"/>
      <w:pPr>
        <w:ind w:left="850" w:hanging="215"/>
      </w:pPr>
    </w:lvl>
    <w:lvl w:ilvl="2">
      <w:numFmt w:val="bullet"/>
      <w:lvlText w:val=" "/>
      <w:lvlJc w:val="left"/>
      <w:pPr>
        <w:ind w:left="1275" w:hanging="215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425" w:hanging="215"/>
      </w:pPr>
    </w:lvl>
    <w:lvl w:ilvl="1">
      <w:start w:val="1"/>
      <w:numFmt w:val="decimal"/>
      <w:lvlText w:val="%2."/>
      <w:lvlJc w:val="left"/>
      <w:pPr>
        <w:ind w:left="850" w:hanging="215"/>
      </w:pPr>
    </w:lvl>
    <w:lvl w:ilvl="2">
      <w:start w:val="1"/>
      <w:numFmt w:val="decimal"/>
      <w:lvlText w:val="%3."/>
      <w:lvlJc w:val="left"/>
      <w:pPr>
        <w:ind w:left="1275" w:hanging="21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425" w:hanging="215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850" w:hanging="215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275" w:hanging="215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425" w:hanging="215"/>
      </w:pPr>
    </w:lvl>
    <w:lvl w:ilvl="1">
      <w:start w:val="2"/>
      <w:numFmt w:val="decimal"/>
      <w:lvlText w:val="%2."/>
      <w:lvlJc w:val="left"/>
      <w:pPr>
        <w:ind w:left="850" w:hanging="215"/>
      </w:pPr>
    </w:lvl>
    <w:lvl w:ilvl="2">
      <w:start w:val="2"/>
      <w:numFmt w:val="decimal"/>
      <w:lvlText w:val="%3."/>
      <w:lvlJc w:val="left"/>
      <w:pPr>
        <w:ind w:left="1275" w:hanging="215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425" w:hanging="215"/>
      </w:pPr>
    </w:lvl>
    <w:lvl w:ilvl="1">
      <w:start w:val="3"/>
      <w:numFmt w:val="decimal"/>
      <w:lvlText w:val="%2."/>
      <w:lvlJc w:val="left"/>
      <w:pPr>
        <w:ind w:left="850" w:hanging="215"/>
      </w:pPr>
    </w:lvl>
    <w:lvl w:ilvl="2">
      <w:start w:val="3"/>
      <w:numFmt w:val="decimal"/>
      <w:lvlText w:val="%3."/>
      <w:lvlJc w:val="left"/>
      <w:pPr>
        <w:ind w:left="1275" w:hanging="215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1"/>
  </w:num>
  <w:num w:numId="100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5">
    <w:abstractNumId w:val="991"/>
  </w:num>
  <w:num w:numId="101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Аналитической записке CIAQ-004 — Детализация 3 предложений по методу 6W</dc:title>
  <dc:creator/>
  <dc:language>ru-RU</dc:language>
  <cp:keywords/>
  <dcterms:created xsi:type="dcterms:W3CDTF">2026-05-11T08:55:53Z</dcterms:created>
  <dcterms:modified xsi:type="dcterms:W3CDTF">2026-05-11T08:55:53Z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вторы">
    <vt:lpwstr/>
  </property>
  <property fmtid="{D5CDD505-2E9C-101B-9397-08002B2CF9AE}" pid="3" name="адресаты">
    <vt:lpwstr>Государственные органы Республики Казахстан</vt:lpwstr>
  </property>
  <property fmtid="{D5CDD505-2E9C-101B-9397-08002B2CF9AE}" pid="4" name="дата">
    <vt:lpwstr>Май 2026</vt:lpwstr>
  </property>
  <property fmtid="{D5CDD505-2E9C-101B-9397-08002B2CF9AE}" pid="5" name="исх_номер">
    <vt:lpwstr>CIAQ-004 / Прил. 1</vt:lpwstr>
  </property>
  <property fmtid="{D5CDD505-2E9C-101B-9397-08002B2CF9AE}" pid="6" name="тип">
    <vt:lpwstr>Структурированное приложение к аналитической записки</vt:lpwstr>
  </property>
  <property fmtid="{D5CDD505-2E9C-101B-9397-08002B2CF9AE}" pid="7" name="формат">
    <vt:lpwstr>Метод 6W (Who, What, Where, When, Why, How)</vt:lpwstr>
  </property>
</Properties>
</file>