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Краткая справка Рабочей группы — ЕАИС, рибейты, налоги</w:t>
      </w:r>
    </w:p>
    <w:p>
      <w:pPr>
        <w:pStyle w:val="Date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Май 2026 г.</w:t>
      </w:r>
    </w:p>
    <w:bookmarkStart w:id="21" w:name="X27dba843db0719866e9edb143fa1eac72675e8a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Краткая справка Рабочей группы — ЕАИС, рибейты, налоги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Назначение документа.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1-страничная позиция Рабочей группы — для презентаций, печати на бланке коалиции, оперативной передачи заинтересованным сторонам. Подробная аналитика — в Executive Summary (расширенный) и Аналитической записке.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Реформа киноиндустрии Казахстана 2026.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Внедрение Единой автоматизированной информационной системы (ЕАИС) и механизмов налогового стимулирования как фундамент инвестиционной привлекательности отрасли.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Start w:id="9" w:name="обоснование-и-мировой-опыт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 Обоснование и мировой опыт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Текущая модель кинорынка РК страдает от непрозрачности данных. Это блокирует приток частных инвестиций и искажает реальную картину кассовых сборов.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Мировые аналоги — опыт внедрения государственных систем: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Франция (CNC)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обязательная ежедневная отчётность, обеспечивающая прозрачность для всей Европы.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Южная Корея (KOBIS)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сбор данных в реальном времени, сделавший корейский рынок самым прозрачным в мире.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Мексика (SIMEC)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государственный мониторинг финансового здоровья отрасли.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В отличие от частных агрегаторов (Comscore, Box Office Mojo), государственные системы (ЕАИС) являются законодательным инструментом налогового и регуляторного контроля, что критически важно для РК.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"/>
    <w:bookmarkStart w:id="14" w:name="X368117fed7b3ca5d5a27c41ef53a51fdf9bd4ca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 Программа реформирования до 2030 года — 4 шага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Для перехода от дотационной модели к прибыльной индустрии Рабочая группа предлагает реализацию четырёх шагов.</w:t>
      </w:r>
    </w:p>
    <w:bookmarkStart w:id="10" w:name="шаг-1.-региональные-рибейты-cash-rebate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Шаг 1. Региональные рибейты (Cash Rebate)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Наделение акиматов правом самостоятельно субсидировать иностранных и совместных производителей. Создание конкуренции между регионами за привлечение киноинвестиций, развитие туризма и локального малого бизнеса.</w:t>
      </w:r>
    </w:p>
    <w:bookmarkEnd w:id="10"/>
    <w:bookmarkStart w:id="11" w:name="шаг-2.-возврат-льгот-по-ндс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Шаг 2. Возврат льгот по НДС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Освобождение от НДС на услуги по производству фильмов. Без этой льготы сервис в РК на 12% дороже, чем у конкурентов (Узбекистан, Грузия). Это барьер для входа мировых стримингов (Netflix, HBO).</w:t>
      </w:r>
    </w:p>
    <w:bookmarkEnd w:id="11"/>
    <w:bookmarkStart w:id="12" w:name="шаг-3.-цифровой-фундамент-еаис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Шаг 3. Цифровой фундамент (ЕАИС)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Обеспечение 100% прозрачности рынка. Инвестор видит каждый тенге в режиме реального времени. Это гарантирует справедливое распределение доходов и защиту авторских прав.</w:t>
      </w:r>
    </w:p>
    <w:bookmarkEnd w:id="12"/>
    <w:bookmarkStart w:id="13" w:name="шаг-4.-создание-рабочей-группы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Шаг 4. Создание Рабочей группы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Постоянный орган при МКИ РК (состав: МКИ, МНЭ, Минфин, НПП «Атамекен», Лига кинематографистов) для контроля «Дорожной карты» реформ.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3"/>
    <w:bookmarkEnd w:id="14"/>
    <w:bookmarkStart w:id="15" w:name="техническая-реализуемость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 Техническая реализуемость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Опыт Казахстана в транспортной сфере (системы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Onay, Tulpar Card</w:t>
      </w:r>
      <w:r>
        <w:rPr>
          <w:rFonts w:ascii="Times New Roman" w:hAnsi="Times New Roman"/>
          <w:color w:val="000000"/>
          <w:sz w:val="24"/>
        </w:rPr>
        <w:t xml:space="preserve">) доказывает: централизованный учёт миллионов транзакций от разных частных операторов технически прост. Внедрение аналогичного подхода в кинотеатрах является легко осуществимой задачей при наличии политической воли.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5"/>
    <w:bookmarkStart w:id="16" w:name="X198e119da8ec7222a22e5fd2f9b3e6e33a8e5f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 Текущий статус и сроки (по итогам заседания в Сенате 15.04.2026)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Официальная позиция МКИ РК: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Система ЕАИС прошла опытную стадию (2022–2023) и находится в фазе критической доработки.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Сроки запуска: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Согласно официальному ответу НПП «Атамекен», апробация продлится до конца 2026 года, после чего запланирован полномасштабный запуск. Отмечается сопротивление со стороны игроков, заинтересованных в сохранении «серых» схем распределения доходов.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6"/>
    <w:bookmarkStart w:id="18" w:name="налоговая-реформа-пакет-7-мер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 Налоговая реформа — пакет 7 мер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Действующий налоговый режим РК (НК-2026: НДС повышен с 12% до 16%, прогрессивный ИПН) включает только одно отраслевое освобождение для кино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подп. 44 п. 1 ст. 394 НК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(НДС-льгота на B2B-производство). Этого недостаточно для конкурентоспособности отрасли. Рабочая группа предлагает следующий пакет мер.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Параметры и международные аналоги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Пониженный НДС 5% на билеты в кино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Франция — 5,5%, Польша — 8%, Германия — 7%, Италия — 10%. Восстановление паритета с офлайн-культурными услугами Европы; компенсация роста НДС РК с 12% до 16% в 2026 г.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Налоговый кредит 25–30%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Производство — 25–30%; постпродакшн / VFX — 30–35%; международный TC для иностранных продакшенов — 25% + 5% региональный uplift (вне Алматы / Астаны). предельный объём на проект — 1,5 млрд тг. Тест культурной значимости (BFI). Эффект Италии: +200% объёма, коэффициент мультипликации 2,5× (Olsberg SPI).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R&amp;D-вычет для VFX и анимации — усиление 175%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Дополнение ст. 134-1 НК РК. Аналоги: Австралия PDV Offset 30%, Канада SR&amp;ED 15–35%, UK VFX Expenditure Credit 39%. Альтернатива — расширение режима Astana Hub Park на VFX/анимационные студии.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Спецрежим для самозанятых киношников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«Карта творческого работника РК» по модели французского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intermittent du spectacle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: фиксированный платёж + социальное страхование по «прерывистой» модели + признание периодов простоя для расчёта стажа. Закрывает дыру ЕСП/ИП, выталкивающую съёмочные группы в серую занятость.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Tax Shelter (налоговое стимулирование инвестиций) для частных инвесторов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Адаптация бельгийской модели (вычет 421% + гарантированная доходность 5,3% + EURIBOR). Для РК на старте — консервативный вычет 150–200% из базы КПН/ИПН + гарантированная доходность KORZ + 3–5%. Годовой предел 15 млрд тг. Поэтапно: межведомственная рабочая группа (АРРФР, Минфин, МКИ, ГЦПНК, КГД, АФК, CIAQ), фаза оценки реализуемости 6 мес, опытный проект 2027–2028 (предел 3–5 млрд тг).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«Almaty / Astana Film Park»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для киноинфраструктуры (студии, павильоны, постпродакшн): 0% КПН на 10 лет, 0% НДС на импорт оборудования, ускоренная амортизация (3 года). Аналоги: Cinecittà (Италия), Studio Babelsberg (Германия), Pinewood (UK).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ATA Carnet и временный ввоз оборудования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РК — член ATA Carnet с 1 апреля 2017 г., но инструмент используется минимально. Информационная кампания КГД для таможни и продакшен-индустрии; расширение временного ввоза по ст. 219 ТК ЕАЭС; освобождение от пошлин для оборудования сертифицированных кинопроектов.</w:t>
            </w:r>
          </w:p>
        </w:tc>
      </w:tr>
    </w:tbl>
    <w:bookmarkStart w:id="17" w:name="бюджетный-эффект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Бюджетный эффект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Первичные «потери» бюджета — 15–30 млрд тг/год в первые 2–3 года: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НДС-льгота — 3–5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Tax Credit — 8–12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R&amp;D — 1–2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Самозанятые — 0,5–1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Tax Shelter — 3–5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СЭЗ — 1–3 млрд тг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Точка выхода на бюджетную нейтральность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4–6 лет (коэффициент мультипликации OECD/Olsberg SPI: 2–3×).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Кейсы окупаемости: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Италия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 4 года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Канада, Quebec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рост экспорта услуг до $1,5 млрд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Ирландия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«Game of Thrones» принёс €1 млрд локальных трат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7"/>
    <w:bookmarkEnd w:id="18"/>
    <w:bookmarkStart w:id="20" w:name="ожидаемые-эффекты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 Ожидаемые эффекты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Точная налогооблагаемая база и объективная статистика для стратегического планирования.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Гарантия честных выплат от кинотеатров и мотивация вкладывать в локальный контент.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Понятный и прогнозируемый рынок с верифицируемыми показателями окупаемости.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Привлечение мировых стримингов (Netflix, HBO) и копродюсеров (BFI, KOFIC, ARCOM).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Заключительная позиция.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Успешное завершение внедрения ЕАИС до конца 2026 года в связке с налоговыми реформами является единственным способом обеления отрасли и превращения кино в полноценный инвестиционный актив Казахстана.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Подписанты от Рабочей группы: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ОЮЛ «Альянс креативных индустрий Казахстана» (CIAQ):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Туганов Д.Х.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Президент CIAQ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Курмашев Э.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Координатор Комитета по развитию киноиндустрии CIAQ / Tolqyn Film Fund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Ларионова Е.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Со-координатор Комитета по развитию киноиндустрии CIAQ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ОО «Лига кинематографистов Казахстана»: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Баталов Айдар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Председатель правления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Аскаров Олжас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Заместитель председателя правления по стратегическим вопросам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НПП «Атамекен» (Комитет по интеграции креативных индустрий и туризма):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Тикенов Ергали Ансарович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Руководитель Комитета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Полный пакет документов:</w:t>
      </w:r>
      <w:r>
        <w:rPr>
          <w:rFonts w:ascii="Times New Roman" w:hAnsi="Times New Roman"/>
          <w:color w:val="000000"/>
          <w:sz w:val="24"/>
        </w:rPr>
        <w:t xml:space="preserve"> </w:t>
      </w:r>
      <w:hyperlink r:id="rId19">
        <w:r>
          <w:rPr>
            <w:rStyle w:val="Hyperlink"/>
          </w:rPr>
          <w:t xml:space="preserve">Реформа киноиндустрии РК</w:t>
        </w:r>
      </w:hyperlink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Style w:val="VerbatimChar"/>
          <w:rFonts w:ascii="Times New Roman" w:hAnsi="Times New Roman"/>
          <w:color w:val="000000"/>
          <w:sz w:val="24"/>
        </w:rPr>
        <w:t xml:space="preserve">ciaq.kz/reforma-kino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Документ РГ / РГ-Кино-2026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· Май 2026 г.</w:t>
      </w:r>
    </w:p>
    <w:bookmarkEnd w:id="20"/>
    <w:bookmarkEnd w:id="21"/>
    <w:sectPr>
      <w:footnotePr>
        <w:numRestart w:val="eachSect"/>
      </w:footnote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425" w:hanging="215"/>
      </w:pPr>
    </w:lvl>
    <w:lvl w:ilvl="1">
      <w:numFmt w:val="bullet"/>
      <w:lvlText w:val=" "/>
      <w:lvlJc w:val="left"/>
      <w:pPr>
        <w:ind w:left="850" w:hanging="215"/>
      </w:pPr>
    </w:lvl>
    <w:lvl w:ilvl="2">
      <w:numFmt w:val="bullet"/>
      <w:lvlText w:val=" "/>
      <w:lvlJc w:val="left"/>
      <w:pPr>
        <w:ind w:left="1275" w:hanging="215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425" w:hanging="215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850" w:hanging="215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275" w:hanging="215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9" Type="http://schemas.openxmlformats.org/officeDocument/2006/relationships/hyperlink" Target="/reforma-kino" TargetMode="External"/></Relationships>
</file>

<file path=word/_rels/footnotes.xml.rels><?xml version='1.0' encoding='UTF-8' standalone='yes'?>
<Relationships xmlns="http://schemas.openxmlformats.org/package/2006/relationships"><Relationship Id="rId19" Type="http://schemas.openxmlformats.org/officeDocument/2006/relationships/hyperlink" Target="/reforma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справка Рабочей группы — ЕАИС, рибейты, налоги</dc:title>
  <dc:creator/>
  <dc:language>ru-RU</dc:language>
  <cp:keywords/>
  <dcterms:created xsi:type="dcterms:W3CDTF">2026-05-11T08:56:03Z</dcterms:created>
  <dcterms:modified xsi:type="dcterms:W3CDTF">2026-05-11T08:56:03Z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s">
    <vt:lpwstr>Все адресаты (госорганы, парламент, бизнес, СМИ)</vt:lpwstr>
  </property>
  <property fmtid="{D5CDD505-2E9C-101B-9397-08002B2CF9AE}" pid="3" name="authors">
    <vt:lpwstr/>
  </property>
  <property fmtid="{D5CDD505-2E9C-101B-9397-08002B2CF9AE}" pid="4" name="date">
    <vt:lpwstr>Май 2026 г.</vt:lpwstr>
  </property>
  <property fmtid="{D5CDD505-2E9C-101B-9397-08002B2CF9AE}" pid="5" name="length">
    <vt:lpwstr>1 страница</vt:lpwstr>
  </property>
</Properties>
</file>